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2AFF9" w14:textId="5832315C" w:rsidR="002C3875" w:rsidRDefault="002C3875" w:rsidP="000822B3">
      <w:pPr>
        <w:jc w:val="both"/>
      </w:pPr>
    </w:p>
    <w:p w14:paraId="79D5D618" w14:textId="77777777" w:rsidR="00B65E8C" w:rsidRDefault="00B65E8C" w:rsidP="000822B3">
      <w:pPr>
        <w:jc w:val="both"/>
      </w:pPr>
    </w:p>
    <w:p w14:paraId="1B8353A0" w14:textId="77777777" w:rsidR="00B65E8C" w:rsidRDefault="00B65E8C" w:rsidP="000822B3">
      <w:pPr>
        <w:jc w:val="both"/>
        <w:rPr>
          <w:b/>
          <w:sz w:val="32"/>
          <w:szCs w:val="32"/>
          <w:lang w:val="nl-NL"/>
        </w:rPr>
      </w:pPr>
    </w:p>
    <w:p w14:paraId="182BF32D" w14:textId="77777777" w:rsidR="00B65E8C" w:rsidRDefault="00B65E8C" w:rsidP="000822B3">
      <w:pPr>
        <w:jc w:val="both"/>
        <w:rPr>
          <w:b/>
          <w:sz w:val="32"/>
          <w:szCs w:val="32"/>
          <w:lang w:val="nl-NL"/>
        </w:rPr>
      </w:pPr>
      <w:r>
        <w:rPr>
          <w:noProof/>
        </w:rPr>
        <mc:AlternateContent>
          <mc:Choice Requires="wps">
            <w:drawing>
              <wp:anchor distT="0" distB="0" distL="114935" distR="114935" simplePos="0" relativeHeight="251659264" behindDoc="0" locked="0" layoutInCell="1" allowOverlap="1" wp14:anchorId="1AE1F098" wp14:editId="68D7ADD7">
                <wp:simplePos x="0" y="0"/>
                <wp:positionH relativeFrom="column">
                  <wp:posOffset>0</wp:posOffset>
                </wp:positionH>
                <wp:positionV relativeFrom="paragraph">
                  <wp:posOffset>4445</wp:posOffset>
                </wp:positionV>
                <wp:extent cx="5943600" cy="606425"/>
                <wp:effectExtent l="5715" t="5080" r="51435" b="5524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6425"/>
                        </a:xfrm>
                        <a:prstGeom prst="rect">
                          <a:avLst/>
                        </a:prstGeom>
                        <a:solidFill>
                          <a:srgbClr val="63AE40"/>
                        </a:solidFill>
                        <a:ln w="6350">
                          <a:solidFill>
                            <a:srgbClr val="000000"/>
                          </a:solidFill>
                          <a:miter lim="800000"/>
                          <a:headEnd/>
                          <a:tailEnd/>
                        </a:ln>
                        <a:effectLst>
                          <a:outerShdw dist="71842" dir="2700000" algn="ctr" rotWithShape="0">
                            <a:srgbClr val="333333"/>
                          </a:outerShdw>
                        </a:effectLst>
                      </wps:spPr>
                      <wps:txbx>
                        <w:txbxContent>
                          <w:p w14:paraId="79F87FC0" w14:textId="6CF8F437" w:rsidR="00B65E8C" w:rsidRPr="007A3888" w:rsidRDefault="004F6501" w:rsidP="00B65E8C">
                            <w:pPr>
                              <w:jc w:val="center"/>
                              <w:rPr>
                                <w:rFonts w:ascii="Trebuchet MS" w:hAnsi="Trebuchet MS" w:cs="Trebuchet MS"/>
                                <w:b/>
                                <w:color w:val="FFFFFF"/>
                                <w:sz w:val="28"/>
                                <w:szCs w:val="28"/>
                              </w:rPr>
                            </w:pPr>
                            <w:r>
                              <w:rPr>
                                <w:rFonts w:ascii="Trebuchet MS" w:hAnsi="Trebuchet MS" w:cs="Trebuchet MS"/>
                                <w:b/>
                                <w:color w:val="FFFFFF"/>
                                <w:sz w:val="28"/>
                                <w:szCs w:val="28"/>
                              </w:rPr>
                              <w:t xml:space="preserve">Campagne de ré-accréditation </w:t>
                            </w:r>
                            <w:r w:rsidR="007F64AB">
                              <w:rPr>
                                <w:rFonts w:ascii="Trebuchet MS" w:hAnsi="Trebuchet MS" w:cs="Trebuchet MS"/>
                                <w:b/>
                                <w:color w:val="FFFFFF"/>
                                <w:sz w:val="28"/>
                                <w:szCs w:val="28"/>
                              </w:rPr>
                              <w:t>202</w:t>
                            </w:r>
                            <w:r w:rsidR="00E3150A">
                              <w:rPr>
                                <w:rFonts w:ascii="Trebuchet MS" w:hAnsi="Trebuchet MS" w:cs="Trebuchet MS"/>
                                <w:b/>
                                <w:color w:val="FFFFFF"/>
                                <w:sz w:val="28"/>
                                <w:szCs w:val="28"/>
                              </w:rPr>
                              <w:t>5</w:t>
                            </w:r>
                            <w:r w:rsidR="0005774C">
                              <w:rPr>
                                <w:rFonts w:ascii="Trebuchet MS" w:hAnsi="Trebuchet MS" w:cs="Trebuchet MS"/>
                                <w:b/>
                                <w:color w:val="FFFFFF"/>
                                <w:sz w:val="28"/>
                                <w:szCs w:val="28"/>
                              </w:rPr>
                              <w:t>-202</w:t>
                            </w:r>
                            <w:r w:rsidR="00E3150A">
                              <w:rPr>
                                <w:rFonts w:ascii="Trebuchet MS" w:hAnsi="Trebuchet MS" w:cs="Trebuchet MS"/>
                                <w:b/>
                                <w:color w:val="FFFFFF"/>
                                <w:sz w:val="28"/>
                                <w:szCs w:val="28"/>
                              </w:rPr>
                              <w:t>6</w:t>
                            </w:r>
                            <w:r w:rsidR="00B65E8C">
                              <w:rPr>
                                <w:rFonts w:ascii="Trebuchet MS" w:hAnsi="Trebuchet MS" w:cs="Trebuchet MS"/>
                                <w:b/>
                                <w:color w:val="FFFFFF"/>
                                <w:sz w:val="28"/>
                                <w:szCs w:val="28"/>
                              </w:rPr>
                              <w:t xml:space="preserve"> </w:t>
                            </w:r>
                            <w:r w:rsidR="00B65E8C" w:rsidRPr="007A3888">
                              <w:rPr>
                                <w:rFonts w:ascii="Trebuchet MS" w:hAnsi="Trebuchet MS" w:cs="Trebuchet MS"/>
                                <w:b/>
                                <w:color w:val="FFFFFF"/>
                                <w:sz w:val="28"/>
                                <w:szCs w:val="28"/>
                              </w:rPr>
                              <w:t>de CMI</w:t>
                            </w:r>
                            <w:r w:rsidR="00B65E8C">
                              <w:rPr>
                                <w:rFonts w:ascii="Trebuchet MS" w:hAnsi="Trebuchet MS" w:cs="Trebuchet MS"/>
                                <w:b/>
                                <w:color w:val="FFFFFF"/>
                                <w:sz w:val="28"/>
                                <w:szCs w:val="28"/>
                              </w:rPr>
                              <w:t xml:space="preserve"> </w:t>
                            </w:r>
                            <w:r w:rsidR="00B65E8C">
                              <w:rPr>
                                <w:rFonts w:ascii="Trebuchet MS" w:hAnsi="Trebuchet MS" w:cs="Trebuchet MS"/>
                                <w:b/>
                                <w:color w:val="FFFFFF"/>
                                <w:sz w:val="28"/>
                                <w:szCs w:val="28"/>
                              </w:rPr>
                              <w:br/>
                              <w:t>Calendrier</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E1F098" id="_x0000_t202" coordsize="21600,21600" o:spt="202" path="m,l,21600r21600,l21600,xe">
                <v:stroke joinstyle="miter"/>
                <v:path gradientshapeok="t" o:connecttype="rect"/>
              </v:shapetype>
              <v:shape id="Text Box 4" o:spid="_x0000_s1026" type="#_x0000_t202" style="position:absolute;left:0;text-align:left;margin-left:0;margin-top:.35pt;width:468pt;height:47.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" fillcolor="#63ae40" strokeweight=".5pt">
                <v:shadow on="t" color="#333" offset="4pt,4pt"/>
                <v:textbox inset="7.45pt,3.85pt,7.45pt,3.85pt">
                  <w:txbxContent>
                    <w:p w14:paraId="79F87FC0" w14:textId="6CF8F437" w:rsidR="00B65E8C" w:rsidRPr="007A3888" w:rsidRDefault="004F6501" w:rsidP="00B65E8C">
                      <w:pPr>
                        <w:jc w:val="center"/>
                        <w:rPr>
                          <w:rFonts w:ascii="Trebuchet MS" w:hAnsi="Trebuchet MS" w:cs="Trebuchet MS"/>
                          <w:b/>
                          <w:color w:val="FFFFFF"/>
                          <w:sz w:val="28"/>
                          <w:szCs w:val="28"/>
                        </w:rPr>
                      </w:pPr>
                      <w:r>
                        <w:rPr>
                          <w:rFonts w:ascii="Trebuchet MS" w:hAnsi="Trebuchet MS" w:cs="Trebuchet MS"/>
                          <w:b/>
                          <w:color w:val="FFFFFF"/>
                          <w:sz w:val="28"/>
                          <w:szCs w:val="28"/>
                        </w:rPr>
                        <w:t xml:space="preserve">Campagne de ré-accréditation </w:t>
                      </w:r>
                      <w:r w:rsidR="007F64AB">
                        <w:rPr>
                          <w:rFonts w:ascii="Trebuchet MS" w:hAnsi="Trebuchet MS" w:cs="Trebuchet MS"/>
                          <w:b/>
                          <w:color w:val="FFFFFF"/>
                          <w:sz w:val="28"/>
                          <w:szCs w:val="28"/>
                        </w:rPr>
                        <w:t>202</w:t>
                      </w:r>
                      <w:r w:rsidR="00E3150A">
                        <w:rPr>
                          <w:rFonts w:ascii="Trebuchet MS" w:hAnsi="Trebuchet MS" w:cs="Trebuchet MS"/>
                          <w:b/>
                          <w:color w:val="FFFFFF"/>
                          <w:sz w:val="28"/>
                          <w:szCs w:val="28"/>
                        </w:rPr>
                        <w:t>5</w:t>
                      </w:r>
                      <w:r w:rsidR="0005774C">
                        <w:rPr>
                          <w:rFonts w:ascii="Trebuchet MS" w:hAnsi="Trebuchet MS" w:cs="Trebuchet MS"/>
                          <w:b/>
                          <w:color w:val="FFFFFF"/>
                          <w:sz w:val="28"/>
                          <w:szCs w:val="28"/>
                        </w:rPr>
                        <w:t>-202</w:t>
                      </w:r>
                      <w:r w:rsidR="00E3150A">
                        <w:rPr>
                          <w:rFonts w:ascii="Trebuchet MS" w:hAnsi="Trebuchet MS" w:cs="Trebuchet MS"/>
                          <w:b/>
                          <w:color w:val="FFFFFF"/>
                          <w:sz w:val="28"/>
                          <w:szCs w:val="28"/>
                        </w:rPr>
                        <w:t>6</w:t>
                      </w:r>
                      <w:r w:rsidR="00B65E8C">
                        <w:rPr>
                          <w:rFonts w:ascii="Trebuchet MS" w:hAnsi="Trebuchet MS" w:cs="Trebuchet MS"/>
                          <w:b/>
                          <w:color w:val="FFFFFF"/>
                          <w:sz w:val="28"/>
                          <w:szCs w:val="28"/>
                        </w:rPr>
                        <w:t xml:space="preserve"> </w:t>
                      </w:r>
                      <w:r w:rsidR="00B65E8C" w:rsidRPr="007A3888">
                        <w:rPr>
                          <w:rFonts w:ascii="Trebuchet MS" w:hAnsi="Trebuchet MS" w:cs="Trebuchet MS"/>
                          <w:b/>
                          <w:color w:val="FFFFFF"/>
                          <w:sz w:val="28"/>
                          <w:szCs w:val="28"/>
                        </w:rPr>
                        <w:t>de CMI</w:t>
                      </w:r>
                      <w:r w:rsidR="00B65E8C">
                        <w:rPr>
                          <w:rFonts w:ascii="Trebuchet MS" w:hAnsi="Trebuchet MS" w:cs="Trebuchet MS"/>
                          <w:b/>
                          <w:color w:val="FFFFFF"/>
                          <w:sz w:val="28"/>
                          <w:szCs w:val="28"/>
                        </w:rPr>
                        <w:t xml:space="preserve"> </w:t>
                      </w:r>
                      <w:r w:rsidR="00B65E8C">
                        <w:rPr>
                          <w:rFonts w:ascii="Trebuchet MS" w:hAnsi="Trebuchet MS" w:cs="Trebuchet MS"/>
                          <w:b/>
                          <w:color w:val="FFFFFF"/>
                          <w:sz w:val="28"/>
                          <w:szCs w:val="28"/>
                        </w:rPr>
                        <w:br/>
                        <w:t>Calendrier</w:t>
                      </w:r>
                    </w:p>
                  </w:txbxContent>
                </v:textbox>
              </v:shape>
            </w:pict>
          </mc:Fallback>
        </mc:AlternateContent>
      </w:r>
    </w:p>
    <w:p w14:paraId="691CB4DA" w14:textId="77777777" w:rsidR="00B65E8C" w:rsidRDefault="00B65E8C" w:rsidP="000822B3">
      <w:pPr>
        <w:jc w:val="both"/>
        <w:rPr>
          <w:b/>
          <w:sz w:val="32"/>
          <w:szCs w:val="32"/>
          <w:lang w:val="nl-NL"/>
        </w:rPr>
      </w:pPr>
    </w:p>
    <w:p w14:paraId="0D52EF2F" w14:textId="77777777" w:rsidR="00B65E8C" w:rsidRDefault="00B65E8C" w:rsidP="000822B3">
      <w:pPr>
        <w:jc w:val="both"/>
        <w:rPr>
          <w:b/>
        </w:rPr>
      </w:pPr>
    </w:p>
    <w:p w14:paraId="41AE8556" w14:textId="77777777" w:rsidR="00B65E8C" w:rsidRDefault="00B65E8C" w:rsidP="000822B3">
      <w:pPr>
        <w:jc w:val="both"/>
        <w:rPr>
          <w:b/>
        </w:rPr>
      </w:pPr>
    </w:p>
    <w:p w14:paraId="5F3E14F9" w14:textId="77777777" w:rsidR="004F6501" w:rsidRDefault="004F6501" w:rsidP="000822B3">
      <w:pPr>
        <w:ind w:firstLine="708"/>
        <w:jc w:val="both"/>
        <w:rPr>
          <w:b/>
          <w:i/>
          <w:color w:val="00B0F0"/>
        </w:rPr>
      </w:pPr>
    </w:p>
    <w:p w14:paraId="4DB6F172" w14:textId="08901B5E" w:rsidR="0005774C" w:rsidRDefault="004F6501" w:rsidP="000822B3">
      <w:pPr>
        <w:ind w:firstLine="708"/>
        <w:jc w:val="both"/>
        <w:rPr>
          <w:b/>
          <w:iCs/>
        </w:rPr>
      </w:pPr>
      <w:r w:rsidRPr="000822B3">
        <w:rPr>
          <w:b/>
          <w:iCs/>
        </w:rPr>
        <w:t>La ré-accréditation, qui intervient au bout de cinq années, est basée sur une autoévaluation de la formation et la rédaction d’un plan d’action par l’ensemble des acteurs locaux. Le processus inclut une visite sur site, qui ne sera engagée qu’après la transmission du dossier complet</w:t>
      </w:r>
      <w:r w:rsidR="0005774C">
        <w:rPr>
          <w:b/>
          <w:iCs/>
        </w:rPr>
        <w:t xml:space="preserve"> </w:t>
      </w:r>
      <w:r w:rsidRPr="000822B3">
        <w:rPr>
          <w:b/>
          <w:iCs/>
        </w:rPr>
        <w:t xml:space="preserve">au réseau FIGURE. </w:t>
      </w:r>
      <w:r w:rsidR="0005774C">
        <w:rPr>
          <w:b/>
          <w:iCs/>
        </w:rPr>
        <w:t>Ce dossier est constitué de :</w:t>
      </w:r>
    </w:p>
    <w:p w14:paraId="1B7690AF" w14:textId="2E995182" w:rsidR="0005774C" w:rsidRDefault="0005774C" w:rsidP="000822B3">
      <w:pPr>
        <w:ind w:firstLine="708"/>
        <w:jc w:val="both"/>
        <w:rPr>
          <w:b/>
          <w:iCs/>
        </w:rPr>
      </w:pPr>
    </w:p>
    <w:p w14:paraId="4AD8AA17" w14:textId="10BD926A" w:rsidR="0005774C" w:rsidRDefault="0005774C" w:rsidP="0005774C">
      <w:pPr>
        <w:pStyle w:val="Paragraphedeliste"/>
        <w:numPr>
          <w:ilvl w:val="0"/>
          <w:numId w:val="2"/>
        </w:numPr>
        <w:jc w:val="both"/>
        <w:rPr>
          <w:b/>
          <w:iCs/>
        </w:rPr>
      </w:pPr>
      <w:r>
        <w:rPr>
          <w:b/>
          <w:iCs/>
        </w:rPr>
        <w:t>Document de présentation du CMI selon la trame jointe dans le fichier « PrésentationCMI</w:t>
      </w:r>
      <w:r w:rsidR="001E10F5">
        <w:rPr>
          <w:b/>
          <w:iCs/>
        </w:rPr>
        <w:t>reac</w:t>
      </w:r>
      <w:r>
        <w:rPr>
          <w:b/>
          <w:iCs/>
        </w:rPr>
        <w:t>.docx »</w:t>
      </w:r>
    </w:p>
    <w:p w14:paraId="46BF148E" w14:textId="3E579124" w:rsidR="0005774C" w:rsidRDefault="0005774C" w:rsidP="0005774C">
      <w:pPr>
        <w:pStyle w:val="Paragraphedeliste"/>
        <w:numPr>
          <w:ilvl w:val="0"/>
          <w:numId w:val="2"/>
        </w:numPr>
        <w:jc w:val="both"/>
        <w:rPr>
          <w:b/>
          <w:iCs/>
        </w:rPr>
      </w:pPr>
      <w:r>
        <w:rPr>
          <w:b/>
          <w:iCs/>
        </w:rPr>
        <w:t>Maquette du CMI selon le format du fichier « </w:t>
      </w:r>
      <w:proofErr w:type="spellStart"/>
      <w:r>
        <w:rPr>
          <w:b/>
          <w:iCs/>
        </w:rPr>
        <w:t>Maquette_CMI</w:t>
      </w:r>
      <w:proofErr w:type="spellEnd"/>
      <w:r>
        <w:rPr>
          <w:b/>
          <w:iCs/>
        </w:rPr>
        <w:t xml:space="preserve"> 202</w:t>
      </w:r>
      <w:r w:rsidR="00E3150A">
        <w:rPr>
          <w:b/>
          <w:iCs/>
        </w:rPr>
        <w:t>5</w:t>
      </w:r>
      <w:r>
        <w:rPr>
          <w:b/>
          <w:iCs/>
        </w:rPr>
        <w:t>-202</w:t>
      </w:r>
      <w:r w:rsidR="00E3150A">
        <w:rPr>
          <w:b/>
          <w:iCs/>
        </w:rPr>
        <w:t>6</w:t>
      </w:r>
      <w:r>
        <w:rPr>
          <w:b/>
          <w:iCs/>
        </w:rPr>
        <w:t>.xlsx »</w:t>
      </w:r>
    </w:p>
    <w:p w14:paraId="353D4949" w14:textId="19AD8D25" w:rsidR="0005774C" w:rsidRDefault="0005774C" w:rsidP="0005774C">
      <w:pPr>
        <w:pStyle w:val="Paragraphedeliste"/>
        <w:numPr>
          <w:ilvl w:val="0"/>
          <w:numId w:val="2"/>
        </w:numPr>
        <w:jc w:val="both"/>
        <w:rPr>
          <w:b/>
          <w:iCs/>
        </w:rPr>
      </w:pPr>
      <w:r>
        <w:rPr>
          <w:b/>
          <w:iCs/>
        </w:rPr>
        <w:t>Effectifs du CMI selon le format du fichier « Effectifs CMI et support 202</w:t>
      </w:r>
      <w:r w:rsidR="00E3150A">
        <w:rPr>
          <w:b/>
          <w:iCs/>
        </w:rPr>
        <w:t>5</w:t>
      </w:r>
      <w:r>
        <w:rPr>
          <w:b/>
          <w:iCs/>
        </w:rPr>
        <w:t>-202</w:t>
      </w:r>
      <w:r w:rsidR="00E3150A">
        <w:rPr>
          <w:b/>
          <w:iCs/>
        </w:rPr>
        <w:t>6</w:t>
      </w:r>
      <w:r>
        <w:rPr>
          <w:b/>
          <w:iCs/>
        </w:rPr>
        <w:t>.xlsx »</w:t>
      </w:r>
    </w:p>
    <w:p w14:paraId="08AD8B5A" w14:textId="7020F961" w:rsidR="0005774C" w:rsidRDefault="0005774C" w:rsidP="0005774C">
      <w:pPr>
        <w:pStyle w:val="Paragraphedeliste"/>
        <w:numPr>
          <w:ilvl w:val="0"/>
          <w:numId w:val="2"/>
        </w:numPr>
        <w:jc w:val="both"/>
        <w:rPr>
          <w:b/>
          <w:iCs/>
        </w:rPr>
      </w:pPr>
      <w:r>
        <w:rPr>
          <w:b/>
          <w:iCs/>
        </w:rPr>
        <w:t>L’autoévaluation et le plan d’action selon le format du fichier « </w:t>
      </w:r>
      <w:proofErr w:type="spellStart"/>
      <w:r>
        <w:rPr>
          <w:b/>
          <w:iCs/>
        </w:rPr>
        <w:t>AutoévaluationPlanActions</w:t>
      </w:r>
      <w:proofErr w:type="spellEnd"/>
      <w:r>
        <w:rPr>
          <w:b/>
          <w:iCs/>
        </w:rPr>
        <w:t xml:space="preserve"> 202</w:t>
      </w:r>
      <w:r w:rsidR="00D719D4">
        <w:rPr>
          <w:b/>
          <w:iCs/>
        </w:rPr>
        <w:t>5</w:t>
      </w:r>
      <w:r>
        <w:rPr>
          <w:b/>
          <w:iCs/>
        </w:rPr>
        <w:t>-202</w:t>
      </w:r>
      <w:r w:rsidR="00D719D4">
        <w:rPr>
          <w:b/>
          <w:iCs/>
        </w:rPr>
        <w:t>6</w:t>
      </w:r>
      <w:r>
        <w:rPr>
          <w:b/>
          <w:iCs/>
        </w:rPr>
        <w:t>.xlsx »</w:t>
      </w:r>
      <w:r w:rsidR="0077021E">
        <w:rPr>
          <w:b/>
          <w:iCs/>
        </w:rPr>
        <w:t>. Les éléments probants de l’autoévaluation sont à fournir au maximum sous forme de liens. Le cas échéant, fournir un seul lien vers lequel l’ense</w:t>
      </w:r>
      <w:r w:rsidR="00012672">
        <w:rPr>
          <w:b/>
          <w:iCs/>
        </w:rPr>
        <w:t>mble des éléments probants es</w:t>
      </w:r>
      <w:r w:rsidR="0077021E">
        <w:rPr>
          <w:b/>
          <w:iCs/>
        </w:rPr>
        <w:t>t téléchargeable par les experts et facilement identifiables.</w:t>
      </w:r>
    </w:p>
    <w:p w14:paraId="1A1D0DF7" w14:textId="7F0B20D8" w:rsidR="0005774C" w:rsidRDefault="0005774C" w:rsidP="0005774C">
      <w:pPr>
        <w:pStyle w:val="Paragraphedeliste"/>
        <w:numPr>
          <w:ilvl w:val="0"/>
          <w:numId w:val="2"/>
        </w:numPr>
        <w:jc w:val="both"/>
        <w:rPr>
          <w:b/>
          <w:iCs/>
        </w:rPr>
      </w:pPr>
      <w:r>
        <w:rPr>
          <w:b/>
          <w:iCs/>
        </w:rPr>
        <w:t xml:space="preserve">Lettre du président de l’université demandant la </w:t>
      </w:r>
      <w:proofErr w:type="spellStart"/>
      <w:r>
        <w:rPr>
          <w:b/>
          <w:iCs/>
        </w:rPr>
        <w:t>réaccréditation</w:t>
      </w:r>
      <w:proofErr w:type="spellEnd"/>
      <w:r>
        <w:rPr>
          <w:b/>
          <w:iCs/>
        </w:rPr>
        <w:t xml:space="preserve"> de l’université pour délivrer le CMI</w:t>
      </w:r>
    </w:p>
    <w:p w14:paraId="68F80B68" w14:textId="3F9B138C" w:rsidR="0005774C" w:rsidRPr="0005774C" w:rsidRDefault="0005774C" w:rsidP="0005774C">
      <w:pPr>
        <w:pStyle w:val="Paragraphedeliste"/>
        <w:numPr>
          <w:ilvl w:val="0"/>
          <w:numId w:val="2"/>
        </w:numPr>
        <w:jc w:val="both"/>
        <w:rPr>
          <w:b/>
          <w:iCs/>
        </w:rPr>
      </w:pPr>
      <w:r>
        <w:rPr>
          <w:b/>
          <w:iCs/>
        </w:rPr>
        <w:t>Lettres d’accompagnement des laboratoires d’appui et des entreprises</w:t>
      </w:r>
    </w:p>
    <w:p w14:paraId="4959E2C9" w14:textId="77777777" w:rsidR="0005774C" w:rsidRDefault="0005774C" w:rsidP="000822B3">
      <w:pPr>
        <w:ind w:firstLine="708"/>
        <w:jc w:val="both"/>
        <w:rPr>
          <w:b/>
          <w:iCs/>
        </w:rPr>
      </w:pPr>
    </w:p>
    <w:p w14:paraId="6D48451B" w14:textId="77777777" w:rsidR="0005774C" w:rsidRDefault="0005774C" w:rsidP="000822B3">
      <w:pPr>
        <w:ind w:firstLine="708"/>
        <w:jc w:val="both"/>
        <w:rPr>
          <w:b/>
          <w:iCs/>
        </w:rPr>
      </w:pPr>
    </w:p>
    <w:p w14:paraId="6BB78167" w14:textId="20A179B9" w:rsidR="004F6501" w:rsidRDefault="0005774C" w:rsidP="000822B3">
      <w:pPr>
        <w:ind w:firstLine="708"/>
        <w:jc w:val="both"/>
        <w:rPr>
          <w:b/>
          <w:iCs/>
        </w:rPr>
      </w:pPr>
      <w:r>
        <w:rPr>
          <w:b/>
          <w:iCs/>
        </w:rPr>
        <w:t xml:space="preserve">Pour respecter le calendrier ci-dessous qui permettra aux CMI réaccrédités d’apparaître sous </w:t>
      </w:r>
      <w:proofErr w:type="spellStart"/>
      <w:r>
        <w:rPr>
          <w:b/>
          <w:iCs/>
        </w:rPr>
        <w:t>Parcoursup</w:t>
      </w:r>
      <w:proofErr w:type="spellEnd"/>
      <w:r>
        <w:rPr>
          <w:b/>
          <w:iCs/>
        </w:rPr>
        <w:t xml:space="preserve"> dès janvier 202</w:t>
      </w:r>
      <w:r w:rsidR="00D719D4">
        <w:rPr>
          <w:b/>
          <w:iCs/>
        </w:rPr>
        <w:t>6</w:t>
      </w:r>
      <w:r>
        <w:rPr>
          <w:b/>
          <w:iCs/>
        </w:rPr>
        <w:t>, la</w:t>
      </w:r>
      <w:r w:rsidR="004F6501" w:rsidRPr="000822B3">
        <w:rPr>
          <w:b/>
          <w:iCs/>
        </w:rPr>
        <w:t xml:space="preserve"> transmission</w:t>
      </w:r>
      <w:r>
        <w:rPr>
          <w:b/>
          <w:iCs/>
        </w:rPr>
        <w:t xml:space="preserve"> du dossier complet</w:t>
      </w:r>
      <w:r w:rsidR="004F6501" w:rsidRPr="000822B3">
        <w:rPr>
          <w:b/>
          <w:iCs/>
        </w:rPr>
        <w:t xml:space="preserve"> doit intervenir impérativement </w:t>
      </w:r>
      <w:r>
        <w:rPr>
          <w:b/>
          <w:iCs/>
          <w:u w:val="single"/>
        </w:rPr>
        <w:t xml:space="preserve">avant </w:t>
      </w:r>
      <w:r w:rsidR="00D719D4">
        <w:rPr>
          <w:b/>
          <w:iCs/>
          <w:u w:val="single"/>
        </w:rPr>
        <w:t>le 20 juin 2025</w:t>
      </w:r>
      <w:r w:rsidR="004F6501" w:rsidRPr="003A42B4">
        <w:rPr>
          <w:b/>
          <w:iCs/>
          <w:u w:val="single"/>
        </w:rPr>
        <w:t>.</w:t>
      </w:r>
      <w:r w:rsidR="004F6501" w:rsidRPr="000822B3">
        <w:rPr>
          <w:b/>
          <w:iCs/>
        </w:rPr>
        <w:t xml:space="preserve"> </w:t>
      </w:r>
    </w:p>
    <w:p w14:paraId="57598E79" w14:textId="21BB9638" w:rsidR="0005774C" w:rsidRDefault="0005774C" w:rsidP="000822B3">
      <w:pPr>
        <w:ind w:firstLine="708"/>
        <w:jc w:val="both"/>
        <w:rPr>
          <w:b/>
          <w:iCs/>
        </w:rPr>
      </w:pPr>
    </w:p>
    <w:p w14:paraId="09E0EE6E" w14:textId="053256D8" w:rsidR="001E10F5" w:rsidRPr="000822B3" w:rsidRDefault="001E10F5" w:rsidP="001E10F5">
      <w:pPr>
        <w:ind w:firstLine="708"/>
        <w:jc w:val="both"/>
        <w:rPr>
          <w:b/>
          <w:iCs/>
        </w:rPr>
      </w:pPr>
      <w:r>
        <w:rPr>
          <w:b/>
          <w:iCs/>
        </w:rPr>
        <w:t>D’autre part, les experts seront nommés et une semaine de visite cible, entre début septembre et octobre 202</w:t>
      </w:r>
      <w:r w:rsidR="0072630A">
        <w:rPr>
          <w:b/>
          <w:iCs/>
        </w:rPr>
        <w:t>4</w:t>
      </w:r>
      <w:r>
        <w:rPr>
          <w:b/>
          <w:iCs/>
        </w:rPr>
        <w:t>, seront imposés dès le printemps aux établissement évalués.</w:t>
      </w:r>
    </w:p>
    <w:p w14:paraId="79EC2A4D" w14:textId="77777777" w:rsidR="004F6501" w:rsidRPr="00622FA4" w:rsidRDefault="004F6501" w:rsidP="000822B3">
      <w:pPr>
        <w:ind w:firstLine="708"/>
        <w:jc w:val="both"/>
        <w:rPr>
          <w:b/>
          <w:i/>
          <w:color w:val="00B0F0"/>
        </w:rPr>
      </w:pPr>
    </w:p>
    <w:p w14:paraId="741FBCBD" w14:textId="785EF53A" w:rsidR="004F6501" w:rsidRPr="00E075FC" w:rsidRDefault="004F6501" w:rsidP="00012672">
      <w:pPr>
        <w:spacing w:after="120"/>
        <w:ind w:firstLine="709"/>
        <w:jc w:val="both"/>
        <w:rPr>
          <w:b/>
          <w:i/>
        </w:rPr>
      </w:pPr>
      <w:r w:rsidRPr="009E6B4D">
        <w:t xml:space="preserve">Le calendrier </w:t>
      </w:r>
      <w:r w:rsidR="00012672">
        <w:t>que nous visons est :</w:t>
      </w:r>
    </w:p>
    <w:p w14:paraId="009886BD" w14:textId="26AFA686" w:rsidR="004F6501" w:rsidRPr="00A55F14" w:rsidRDefault="004F6501" w:rsidP="000822B3">
      <w:pPr>
        <w:pStyle w:val="Paragraphedeliste"/>
        <w:numPr>
          <w:ilvl w:val="0"/>
          <w:numId w:val="1"/>
        </w:numPr>
        <w:spacing w:after="160" w:line="259" w:lineRule="auto"/>
        <w:ind w:left="0"/>
        <w:contextualSpacing/>
        <w:jc w:val="both"/>
      </w:pPr>
      <w:r w:rsidRPr="00A55F14">
        <w:t xml:space="preserve">l’autoévaluation complète au niveau de chaque CMI est finalisée par le(s) responsable(s) du CMI </w:t>
      </w:r>
      <w:r>
        <w:t>pour mi-</w:t>
      </w:r>
      <w:r w:rsidR="00AD58A5">
        <w:t>juin</w:t>
      </w:r>
      <w:r w:rsidR="0005774C">
        <w:t xml:space="preserve">, </w:t>
      </w:r>
      <w:r w:rsidRPr="00A55F14">
        <w:t>examinée par</w:t>
      </w:r>
      <w:r w:rsidR="0005774C">
        <w:t xml:space="preserve"> l’inter-CMI (s’il existe) puis transmise au réseau FIGURE pour </w:t>
      </w:r>
      <w:r w:rsidR="0082614B">
        <w:t>le 20 juin 2025.</w:t>
      </w:r>
    </w:p>
    <w:p w14:paraId="3FB1CA03" w14:textId="5177A64D" w:rsidR="00E203B2" w:rsidRDefault="004F6501" w:rsidP="003A42B4">
      <w:pPr>
        <w:pStyle w:val="Paragraphedeliste"/>
        <w:numPr>
          <w:ilvl w:val="0"/>
          <w:numId w:val="1"/>
        </w:numPr>
        <w:spacing w:after="160" w:line="259" w:lineRule="auto"/>
        <w:ind w:left="0"/>
        <w:contextualSpacing/>
        <w:jc w:val="both"/>
      </w:pPr>
      <w:r w:rsidRPr="00A55F14">
        <w:t xml:space="preserve">l’élaboration du plan d’action est engagée parallèlement à l’autoévaluation pour chaque CMI. Ce plan d’action </w:t>
      </w:r>
      <w:r w:rsidR="008458D5">
        <w:t>peut</w:t>
      </w:r>
      <w:r w:rsidRPr="00A55F14">
        <w:t xml:space="preserve"> être élaboré au ni</w:t>
      </w:r>
      <w:r w:rsidR="00425E9B">
        <w:t>veau de l’ensemble des CMI</w:t>
      </w:r>
      <w:r w:rsidR="00E203B2">
        <w:t>.</w:t>
      </w:r>
    </w:p>
    <w:p w14:paraId="231FEBAE" w14:textId="3B454CA7" w:rsidR="00E203B2" w:rsidRDefault="004F6501" w:rsidP="00E203B2">
      <w:pPr>
        <w:pStyle w:val="Paragraphedeliste"/>
        <w:numPr>
          <w:ilvl w:val="0"/>
          <w:numId w:val="1"/>
        </w:numPr>
        <w:spacing w:after="160" w:line="259" w:lineRule="auto"/>
        <w:ind w:left="0"/>
        <w:contextualSpacing/>
        <w:jc w:val="both"/>
      </w:pPr>
      <w:r>
        <w:t xml:space="preserve">une fois transmis au réseau FIGURE, le dossier est analysé par des experts externes, qui évaluent la qualité de l’autoévaluation ainsi que la pertinence et la faisabilité du plan d’action. Ils rédigent un pré-rapport avant la visite sur site, qui sera </w:t>
      </w:r>
      <w:r w:rsidR="00DD2929">
        <w:t xml:space="preserve">donc </w:t>
      </w:r>
      <w:r>
        <w:t xml:space="preserve">organisée </w:t>
      </w:r>
      <w:r w:rsidR="00295307">
        <w:t>juste après la rentrée 202</w:t>
      </w:r>
      <w:r w:rsidR="0082614B">
        <w:t>5</w:t>
      </w:r>
      <w:r>
        <w:t xml:space="preserve"> </w:t>
      </w:r>
      <w:r w:rsidR="00E203B2">
        <w:t>et</w:t>
      </w:r>
      <w:r>
        <w:t xml:space="preserve"> au cours de laquelle les experts externes v</w:t>
      </w:r>
      <w:r w:rsidRPr="00451EC5">
        <w:t xml:space="preserve">iennent rencontrer les différents acteurs et </w:t>
      </w:r>
      <w:r>
        <w:t>examiner</w:t>
      </w:r>
      <w:r w:rsidRPr="00451EC5">
        <w:t xml:space="preserve"> avec eux le contenu du projet, ses éventuelles évolutions par rapport au projet précédent, </w:t>
      </w:r>
      <w:r>
        <w:t>et surtout la qualité du diagnostic formulé au cours de l’autoévaluation, ainsi que la portée du</w:t>
      </w:r>
      <w:r w:rsidRPr="00451EC5">
        <w:t xml:space="preserve"> plan d’action proposé dans le cadre de l</w:t>
      </w:r>
      <w:r>
        <w:t>a procédure d’assurance qualité.</w:t>
      </w:r>
    </w:p>
    <w:p w14:paraId="1A578B27" w14:textId="77777777" w:rsidR="007F64AB" w:rsidRDefault="007F64AB" w:rsidP="007F64AB">
      <w:pPr>
        <w:pStyle w:val="Paragraphedeliste"/>
        <w:numPr>
          <w:ilvl w:val="0"/>
          <w:numId w:val="1"/>
        </w:numPr>
        <w:spacing w:after="160" w:line="259" w:lineRule="auto"/>
        <w:ind w:left="0"/>
        <w:contextualSpacing/>
        <w:jc w:val="both"/>
      </w:pPr>
      <w:r>
        <w:lastRenderedPageBreak/>
        <w:t>les rapports d’évaluation intermédiaires des experts sont ensuite transmis à l’établissement dans une délai de 3 semaines à l’issue de la visite et un droit de réponse est donné pour permettre la correction d’éventuelles erreurs factuelles (2 semaine pour répondre).</w:t>
      </w:r>
    </w:p>
    <w:p w14:paraId="4D976B16" w14:textId="0D14F273" w:rsidR="004F6501" w:rsidRDefault="004F6501" w:rsidP="000822B3">
      <w:pPr>
        <w:pStyle w:val="Paragraphedeliste"/>
        <w:numPr>
          <w:ilvl w:val="0"/>
          <w:numId w:val="1"/>
        </w:numPr>
        <w:spacing w:after="160" w:line="259" w:lineRule="auto"/>
        <w:ind w:left="0"/>
        <w:contextualSpacing/>
        <w:jc w:val="both"/>
      </w:pPr>
      <w:r>
        <w:t>Le comité d’accréditation se réun</w:t>
      </w:r>
      <w:r w:rsidR="00E203B2">
        <w:t xml:space="preserve">it </w:t>
      </w:r>
      <w:r w:rsidR="00C76845">
        <w:t xml:space="preserve">début </w:t>
      </w:r>
      <w:r w:rsidR="00E203B2">
        <w:t>décembre</w:t>
      </w:r>
      <w:r>
        <w:t xml:space="preserve"> pour prendre les décisions relatives à la ré-accréditation</w:t>
      </w:r>
      <w:r w:rsidR="00DD2929">
        <w:t xml:space="preserve"> av</w:t>
      </w:r>
      <w:r w:rsidR="00E203B2">
        <w:t>ant la phase finale de paramétrage</w:t>
      </w:r>
      <w:r w:rsidR="00DD2929">
        <w:t xml:space="preserve"> </w:t>
      </w:r>
      <w:r w:rsidR="00E203B2">
        <w:t>de</w:t>
      </w:r>
      <w:r w:rsidR="00DD2929">
        <w:t xml:space="preserve"> </w:t>
      </w:r>
      <w:proofErr w:type="spellStart"/>
      <w:r w:rsidR="00DD2929">
        <w:t>Parcoursup</w:t>
      </w:r>
      <w:proofErr w:type="spellEnd"/>
      <w:r w:rsidR="00DD2929">
        <w:t>.</w:t>
      </w:r>
    </w:p>
    <w:p w14:paraId="2172B17C" w14:textId="1D4886CD" w:rsidR="004F6501" w:rsidRDefault="004F6501" w:rsidP="000822B3">
      <w:pPr>
        <w:jc w:val="both"/>
        <w:rPr>
          <w:b/>
          <w:i/>
        </w:rPr>
      </w:pPr>
      <w:r w:rsidRPr="00801964">
        <w:rPr>
          <w:b/>
          <w:i/>
        </w:rPr>
        <w:t xml:space="preserve">Le comité d’accréditation délivre </w:t>
      </w:r>
      <w:r>
        <w:rPr>
          <w:b/>
          <w:i/>
        </w:rPr>
        <w:t xml:space="preserve">alors </w:t>
      </w:r>
      <w:r w:rsidRPr="00801964">
        <w:rPr>
          <w:b/>
          <w:i/>
        </w:rPr>
        <w:t>des avis positifs</w:t>
      </w:r>
      <w:r w:rsidR="0009701A">
        <w:rPr>
          <w:b/>
          <w:i/>
        </w:rPr>
        <w:t xml:space="preserve">, </w:t>
      </w:r>
      <w:r w:rsidRPr="00801964">
        <w:rPr>
          <w:b/>
          <w:i/>
        </w:rPr>
        <w:t>négatifs</w:t>
      </w:r>
      <w:r w:rsidR="0009701A">
        <w:rPr>
          <w:b/>
          <w:i/>
        </w:rPr>
        <w:t xml:space="preserve"> ou intermédiaire (1 an pour répondre aux recommandations nécessaires + 4ans)</w:t>
      </w:r>
      <w:r w:rsidRPr="00801964">
        <w:rPr>
          <w:b/>
          <w:i/>
        </w:rPr>
        <w:t xml:space="preserve"> en vue d’une nouvelle accréditation. Il communique les résultats aux établissements concernés et au bureau du réseau FIGURE. </w:t>
      </w:r>
    </w:p>
    <w:p w14:paraId="0A3E55A8" w14:textId="77777777" w:rsidR="0072630A" w:rsidRDefault="0072630A" w:rsidP="000822B3">
      <w:pPr>
        <w:jc w:val="both"/>
        <w:rPr>
          <w:b/>
          <w:i/>
        </w:rPr>
      </w:pPr>
    </w:p>
    <w:p w14:paraId="103C3C44" w14:textId="187BCD32" w:rsidR="0072630A" w:rsidRPr="00DD2929" w:rsidRDefault="0072630A" w:rsidP="000822B3">
      <w:pPr>
        <w:jc w:val="both"/>
        <w:rPr>
          <w:b/>
          <w:i/>
        </w:rPr>
      </w:pPr>
      <w:r>
        <w:rPr>
          <w:b/>
          <w:i/>
        </w:rPr>
        <w:t>Les établissements évalués peuvent user d’un droit de recours dans les 2 mois suivant la réception de l’avis du comité d’accréditation.</w:t>
      </w:r>
    </w:p>
    <w:p w14:paraId="480FA2B6" w14:textId="77777777" w:rsidR="004F6501" w:rsidRDefault="004F6501" w:rsidP="000822B3">
      <w:pPr>
        <w:jc w:val="both"/>
        <w:rPr>
          <w:b/>
        </w:rPr>
      </w:pPr>
    </w:p>
    <w:sectPr w:rsidR="004F6501" w:rsidSect="005D68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1CBA6" w14:textId="77777777" w:rsidR="005D6819" w:rsidRDefault="005D6819" w:rsidP="00B65E8C">
      <w:r>
        <w:separator/>
      </w:r>
    </w:p>
  </w:endnote>
  <w:endnote w:type="continuationSeparator" w:id="0">
    <w:p w14:paraId="43607347" w14:textId="77777777" w:rsidR="005D6819" w:rsidRDefault="005D6819" w:rsidP="00B6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5445" w14:textId="77777777" w:rsidR="00E3150A" w:rsidRDefault="00E3150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B9A1F" w14:textId="74BE4807" w:rsidR="00C76845" w:rsidRDefault="007F64AB">
    <w:pPr>
      <w:pStyle w:val="Pieddepage"/>
    </w:pPr>
    <w:r>
      <w:t>Figure Assurance Qualité</w:t>
    </w:r>
    <w:r>
      <w:ptab w:relativeTo="margin" w:alignment="center" w:leader="none"/>
    </w:r>
    <w:r>
      <w:ptab w:relativeTo="margin" w:alignment="right" w:leader="none"/>
    </w:r>
    <w:r>
      <w:t>2</w:t>
    </w:r>
    <w:r w:rsidR="00C76845">
      <w:t>8</w:t>
    </w:r>
    <w:r>
      <w:t>/0</w:t>
    </w:r>
    <w:r w:rsidR="00C76845">
      <w:t>4</w:t>
    </w:r>
    <w:r>
      <w:t>/202</w:t>
    </w:r>
    <w:r w:rsidR="00C76845">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FE467" w14:textId="77777777" w:rsidR="00E3150A" w:rsidRDefault="00E315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3AFA7" w14:textId="77777777" w:rsidR="005D6819" w:rsidRDefault="005D6819" w:rsidP="00B65E8C">
      <w:r>
        <w:separator/>
      </w:r>
    </w:p>
  </w:footnote>
  <w:footnote w:type="continuationSeparator" w:id="0">
    <w:p w14:paraId="719FFF26" w14:textId="77777777" w:rsidR="005D6819" w:rsidRDefault="005D6819" w:rsidP="00B65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96814" w14:textId="77777777" w:rsidR="00E3150A" w:rsidRDefault="00E3150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91121" w14:textId="2D045D34" w:rsidR="00B65E8C" w:rsidRDefault="00B65E8C" w:rsidP="00B65E8C">
    <w:pPr>
      <w:pStyle w:val="En-tte"/>
    </w:pPr>
    <w:r>
      <w:rPr>
        <w:noProof/>
      </w:rPr>
      <w:drawing>
        <wp:inline distT="0" distB="0" distL="0" distR="0" wp14:anchorId="21A3F3FC" wp14:editId="29D3D687">
          <wp:extent cx="1636329" cy="495300"/>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reseau15xxX4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5379" cy="513174"/>
                  </a:xfrm>
                  <a:prstGeom prst="rect">
                    <a:avLst/>
                  </a:prstGeom>
                </pic:spPr>
              </pic:pic>
            </a:graphicData>
          </a:graphic>
        </wp:inline>
      </w:drawing>
    </w:r>
    <w:r>
      <w:t xml:space="preserve">                                                                 </w:t>
    </w:r>
    <w:r>
      <w:rPr>
        <w:noProof/>
      </w:rPr>
      <w:drawing>
        <wp:inline distT="0" distB="0" distL="0" distR="0" wp14:anchorId="31311406" wp14:editId="42D9F542">
          <wp:extent cx="451693" cy="541020"/>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ENAEE.png"/>
                  <pic:cNvPicPr/>
                </pic:nvPicPr>
                <pic:blipFill>
                  <a:blip r:embed="rId2">
                    <a:extLst>
                      <a:ext uri="{28A0092B-C50C-407E-A947-70E740481C1C}">
                        <a14:useLocalDpi xmlns:a14="http://schemas.microsoft.com/office/drawing/2010/main" val="0"/>
                      </a:ext>
                    </a:extLst>
                  </a:blip>
                  <a:stretch>
                    <a:fillRect/>
                  </a:stretch>
                </pic:blipFill>
                <pic:spPr>
                  <a:xfrm>
                    <a:off x="0" y="0"/>
                    <a:ext cx="465056" cy="557026"/>
                  </a:xfrm>
                  <a:prstGeom prst="rect">
                    <a:avLst/>
                  </a:prstGeom>
                </pic:spPr>
              </pic:pic>
            </a:graphicData>
          </a:graphic>
        </wp:inline>
      </w:drawing>
    </w:r>
    <w:r>
      <w:t xml:space="preserve">  </w:t>
    </w:r>
    <w:r>
      <w:rPr>
        <w:noProof/>
      </w:rPr>
      <w:drawing>
        <wp:inline distT="0" distB="0" distL="0" distR="0" wp14:anchorId="3EA2BEF7" wp14:editId="0484E958">
          <wp:extent cx="563880" cy="563880"/>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VB - Logo Hcére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63880" cy="5638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F82EF" w14:textId="77777777" w:rsidR="00E3150A" w:rsidRDefault="00E3150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40AF5"/>
    <w:multiLevelType w:val="hybridMultilevel"/>
    <w:tmpl w:val="FB1641B8"/>
    <w:lvl w:ilvl="0" w:tplc="040C000F">
      <w:start w:val="1"/>
      <w:numFmt w:val="decimal"/>
      <w:lvlText w:val="%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 w15:restartNumberingAfterBreak="0">
    <w:nsid w:val="46893F34"/>
    <w:multiLevelType w:val="hybridMultilevel"/>
    <w:tmpl w:val="9E7A3224"/>
    <w:lvl w:ilvl="0" w:tplc="7E2E3A9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6692277">
    <w:abstractNumId w:val="1"/>
  </w:num>
  <w:num w:numId="2" w16cid:durableId="806437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E8C"/>
    <w:rsid w:val="00012672"/>
    <w:rsid w:val="0005774C"/>
    <w:rsid w:val="000822B3"/>
    <w:rsid w:val="0009701A"/>
    <w:rsid w:val="001E10F5"/>
    <w:rsid w:val="002349AA"/>
    <w:rsid w:val="00295307"/>
    <w:rsid w:val="002C3875"/>
    <w:rsid w:val="0031458D"/>
    <w:rsid w:val="003A42B4"/>
    <w:rsid w:val="003B4731"/>
    <w:rsid w:val="00425E9B"/>
    <w:rsid w:val="004F6501"/>
    <w:rsid w:val="005D6819"/>
    <w:rsid w:val="0062045C"/>
    <w:rsid w:val="0072630A"/>
    <w:rsid w:val="00727FF1"/>
    <w:rsid w:val="0077021E"/>
    <w:rsid w:val="007A419C"/>
    <w:rsid w:val="007F64AB"/>
    <w:rsid w:val="0082614B"/>
    <w:rsid w:val="008458D5"/>
    <w:rsid w:val="008C0540"/>
    <w:rsid w:val="00A45C0D"/>
    <w:rsid w:val="00A95DB7"/>
    <w:rsid w:val="00AD58A5"/>
    <w:rsid w:val="00B65E8C"/>
    <w:rsid w:val="00C76845"/>
    <w:rsid w:val="00CB279E"/>
    <w:rsid w:val="00CE5B18"/>
    <w:rsid w:val="00CF1E2C"/>
    <w:rsid w:val="00D719D4"/>
    <w:rsid w:val="00DC0C36"/>
    <w:rsid w:val="00DD2929"/>
    <w:rsid w:val="00E203B2"/>
    <w:rsid w:val="00E3150A"/>
    <w:rsid w:val="00E83B98"/>
    <w:rsid w:val="00F2480D"/>
    <w:rsid w:val="00FB5A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CCEC0"/>
  <w15:chartTrackingRefBased/>
  <w15:docId w15:val="{A7D5DB4B-7962-4D0E-B66C-13C25EC7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E8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65E8C"/>
    <w:pPr>
      <w:tabs>
        <w:tab w:val="center" w:pos="4536"/>
        <w:tab w:val="right" w:pos="9072"/>
      </w:tabs>
    </w:pPr>
  </w:style>
  <w:style w:type="character" w:customStyle="1" w:styleId="En-tteCar">
    <w:name w:val="En-tête Car"/>
    <w:basedOn w:val="Policepardfaut"/>
    <w:link w:val="En-tte"/>
    <w:uiPriority w:val="99"/>
    <w:rsid w:val="00B65E8C"/>
  </w:style>
  <w:style w:type="paragraph" w:styleId="Pieddepage">
    <w:name w:val="footer"/>
    <w:basedOn w:val="Normal"/>
    <w:link w:val="PieddepageCar"/>
    <w:uiPriority w:val="99"/>
    <w:unhideWhenUsed/>
    <w:rsid w:val="00B65E8C"/>
    <w:pPr>
      <w:tabs>
        <w:tab w:val="center" w:pos="4536"/>
        <w:tab w:val="right" w:pos="9072"/>
      </w:tabs>
    </w:pPr>
  </w:style>
  <w:style w:type="character" w:customStyle="1" w:styleId="PieddepageCar">
    <w:name w:val="Pied de page Car"/>
    <w:basedOn w:val="Policepardfaut"/>
    <w:link w:val="Pieddepage"/>
    <w:uiPriority w:val="99"/>
    <w:rsid w:val="00B65E8C"/>
  </w:style>
  <w:style w:type="paragraph" w:customStyle="1" w:styleId="Listecouleur-Accent11">
    <w:name w:val="Liste couleur - Accent 11"/>
    <w:basedOn w:val="Normal"/>
    <w:uiPriority w:val="34"/>
    <w:qFormat/>
    <w:rsid w:val="00B65E8C"/>
    <w:pPr>
      <w:suppressAutoHyphens/>
      <w:ind w:left="720"/>
    </w:pPr>
    <w:rPr>
      <w:rFonts w:eastAsia="SimSun" w:cs="Mangal"/>
      <w:kern w:val="1"/>
      <w:lang w:eastAsia="hi-IN" w:bidi="hi-IN"/>
    </w:rPr>
  </w:style>
  <w:style w:type="paragraph" w:styleId="Paragraphedeliste">
    <w:name w:val="List Paragraph"/>
    <w:basedOn w:val="Normal"/>
    <w:uiPriority w:val="34"/>
    <w:qFormat/>
    <w:rsid w:val="00B65E8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2877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UP SFA</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Quentin Larue</cp:lastModifiedBy>
  <cp:revision>13</cp:revision>
  <dcterms:created xsi:type="dcterms:W3CDTF">2021-07-18T16:00:00Z</dcterms:created>
  <dcterms:modified xsi:type="dcterms:W3CDTF">2025-04-30T14:28:00Z</dcterms:modified>
</cp:coreProperties>
</file>