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FEA0D" w14:textId="6B6C6168" w:rsidR="00DA3B38" w:rsidRDefault="00370F72" w:rsidP="00DA3B38">
      <w:pPr>
        <w:jc w:val="center"/>
      </w:pPr>
      <w:bookmarkStart w:id="0" w:name="_GoBack"/>
      <w:bookmarkEnd w:id="0"/>
      <w:r>
        <w:rPr>
          <w:noProof/>
          <w:color w:val="FFFFFF" w:themeColor="background1"/>
          <w:sz w:val="32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75DA62CA" wp14:editId="37E1C4F9">
            <wp:simplePos x="0" y="0"/>
            <wp:positionH relativeFrom="margin">
              <wp:posOffset>-635</wp:posOffset>
            </wp:positionH>
            <wp:positionV relativeFrom="paragraph">
              <wp:posOffset>22860</wp:posOffset>
            </wp:positionV>
            <wp:extent cx="2040890" cy="581660"/>
            <wp:effectExtent l="0" t="0" r="0" b="889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darde\Desktop\Logo Réseau Figure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02D980" w14:textId="7CF6F36C" w:rsidR="00DA3B38" w:rsidRDefault="00DA3B38" w:rsidP="00DA3B38">
      <w:pPr>
        <w:jc w:val="center"/>
      </w:pPr>
    </w:p>
    <w:p w14:paraId="28E579F6" w14:textId="77777777" w:rsidR="00370F72" w:rsidRDefault="00370F72" w:rsidP="00DA3B38">
      <w:pPr>
        <w:jc w:val="center"/>
      </w:pPr>
    </w:p>
    <w:p w14:paraId="62C47864" w14:textId="77777777" w:rsidR="00785078" w:rsidRDefault="008016A5" w:rsidP="00DA3B3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8000"/>
        <w:jc w:val="center"/>
        <w:rPr>
          <w:color w:val="FFFFFF" w:themeColor="background1"/>
          <w:sz w:val="32"/>
          <w:szCs w:val="28"/>
        </w:rPr>
      </w:pPr>
      <w:r>
        <w:rPr>
          <w:color w:val="FFFFFF" w:themeColor="background1"/>
          <w:sz w:val="32"/>
          <w:szCs w:val="28"/>
        </w:rPr>
        <w:t>Mise en œuvre du r</w:t>
      </w:r>
      <w:r w:rsidR="00DA3B38" w:rsidRPr="00DA3B38">
        <w:rPr>
          <w:color w:val="FFFFFF" w:themeColor="background1"/>
          <w:sz w:val="32"/>
          <w:szCs w:val="28"/>
        </w:rPr>
        <w:t>éférentiel d’évaluation</w:t>
      </w:r>
    </w:p>
    <w:p w14:paraId="72087039" w14:textId="264B81E0" w:rsidR="00DA3B38" w:rsidRPr="00DA3B38" w:rsidRDefault="00DA3B38" w:rsidP="00DA3B3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8000"/>
        <w:jc w:val="center"/>
        <w:rPr>
          <w:rFonts w:ascii="Calibri" w:eastAsia="Times New Roman" w:hAnsi="Calibri"/>
          <w:b/>
          <w:color w:val="FFFFFF" w:themeColor="background1"/>
        </w:rPr>
      </w:pPr>
      <w:r w:rsidRPr="00DA3B38">
        <w:rPr>
          <w:color w:val="FFFFFF" w:themeColor="background1"/>
          <w:sz w:val="32"/>
          <w:szCs w:val="28"/>
        </w:rPr>
        <w:t xml:space="preserve"> </w:t>
      </w:r>
      <w:proofErr w:type="gramStart"/>
      <w:r w:rsidRPr="00DA3B38">
        <w:rPr>
          <w:color w:val="FFFFFF" w:themeColor="background1"/>
          <w:sz w:val="32"/>
          <w:szCs w:val="28"/>
        </w:rPr>
        <w:t>de</w:t>
      </w:r>
      <w:proofErr w:type="gramEnd"/>
      <w:r w:rsidRPr="00DA3B38">
        <w:rPr>
          <w:color w:val="FFFFFF" w:themeColor="background1"/>
          <w:sz w:val="32"/>
          <w:szCs w:val="28"/>
        </w:rPr>
        <w:t xml:space="preserve"> la qualité des CMI-Figure </w:t>
      </w:r>
    </w:p>
    <w:p w14:paraId="45911224" w14:textId="5366DC32" w:rsidR="00DA3B38" w:rsidRDefault="00DA3B38" w:rsidP="00F51648">
      <w:pPr>
        <w:tabs>
          <w:tab w:val="left" w:pos="709"/>
        </w:tabs>
        <w:spacing w:before="180" w:after="0"/>
        <w:ind w:right="159"/>
        <w:jc w:val="both"/>
        <w:rPr>
          <w:sz w:val="28"/>
          <w:szCs w:val="28"/>
        </w:rPr>
      </w:pPr>
    </w:p>
    <w:p w14:paraId="2C1A5D1B" w14:textId="725AD0DE" w:rsidR="004277DC" w:rsidRDefault="00316B6B" w:rsidP="00F51648">
      <w:pPr>
        <w:tabs>
          <w:tab w:val="left" w:pos="709"/>
        </w:tabs>
        <w:spacing w:before="180" w:after="0"/>
        <w:ind w:right="159"/>
        <w:jc w:val="both"/>
        <w:rPr>
          <w:sz w:val="28"/>
          <w:szCs w:val="28"/>
        </w:rPr>
      </w:pPr>
      <w:r>
        <w:rPr>
          <w:sz w:val="28"/>
          <w:szCs w:val="28"/>
        </w:rPr>
        <w:t>Introduction au r</w:t>
      </w:r>
      <w:r w:rsidR="004277DC">
        <w:rPr>
          <w:sz w:val="28"/>
          <w:szCs w:val="28"/>
        </w:rPr>
        <w:t>éférentiel d’évaluation de la qualité des CMI</w:t>
      </w:r>
    </w:p>
    <w:p w14:paraId="1E7ACF7C" w14:textId="77777777" w:rsidR="0097152E" w:rsidRDefault="0097152E" w:rsidP="00F51648">
      <w:pPr>
        <w:tabs>
          <w:tab w:val="left" w:pos="709"/>
        </w:tabs>
        <w:spacing w:before="180" w:after="0"/>
        <w:ind w:right="159"/>
        <w:jc w:val="both"/>
        <w:rPr>
          <w:sz w:val="28"/>
          <w:szCs w:val="28"/>
        </w:rPr>
      </w:pPr>
    </w:p>
    <w:p w14:paraId="5196A136" w14:textId="64CB0E34" w:rsidR="00316B6B" w:rsidRPr="001D7A8D" w:rsidRDefault="008016A5" w:rsidP="0097152E">
      <w:pPr>
        <w:shd w:val="clear" w:color="auto" w:fill="FFFFFF"/>
        <w:jc w:val="both"/>
        <w:rPr>
          <w:sz w:val="24"/>
          <w:szCs w:val="24"/>
        </w:rPr>
      </w:pPr>
      <w:r w:rsidRPr="004E7249">
        <w:rPr>
          <w:sz w:val="24"/>
          <w:szCs w:val="24"/>
        </w:rPr>
        <w:t>Le référentiel d’évaluation de la qualité des CMI (cf. Annexe</w:t>
      </w:r>
      <w:r w:rsidR="0060469A" w:rsidRPr="004E7249">
        <w:rPr>
          <w:sz w:val="24"/>
          <w:szCs w:val="24"/>
        </w:rPr>
        <w:t>s</w:t>
      </w:r>
      <w:r w:rsidRPr="004E7249">
        <w:rPr>
          <w:sz w:val="24"/>
          <w:szCs w:val="24"/>
        </w:rPr>
        <w:t xml:space="preserve"> 1</w:t>
      </w:r>
      <w:r w:rsidR="0060469A" w:rsidRPr="004E7249">
        <w:rPr>
          <w:sz w:val="24"/>
          <w:szCs w:val="24"/>
        </w:rPr>
        <w:t xml:space="preserve"> à 3</w:t>
      </w:r>
      <w:r w:rsidRPr="004E7249">
        <w:rPr>
          <w:sz w:val="24"/>
          <w:szCs w:val="24"/>
        </w:rPr>
        <w:t>), noté en abrégé REQ-CMI, intègre les principales lignes directrices et recommandations pour le management de la qualité dans l’espace européen de l’enseignement</w:t>
      </w:r>
      <w:r w:rsidR="00D6255B" w:rsidRPr="004E7249">
        <w:rPr>
          <w:sz w:val="24"/>
          <w:szCs w:val="24"/>
        </w:rPr>
        <w:t xml:space="preserve"> supérieur</w:t>
      </w:r>
      <w:r w:rsidRPr="004E7249">
        <w:rPr>
          <w:sz w:val="24"/>
          <w:szCs w:val="24"/>
        </w:rPr>
        <w:t xml:space="preserve"> (</w:t>
      </w:r>
      <w:r w:rsidR="009F684F" w:rsidRPr="004E7249">
        <w:rPr>
          <w:rFonts w:ascii="Calibri" w:hAnsi="Calibri" w:cs="Calibri"/>
          <w:color w:val="000000"/>
        </w:rPr>
        <w:t>cf.</w:t>
      </w:r>
      <w:r w:rsidR="003E28B4" w:rsidRPr="004E7249">
        <w:rPr>
          <w:rStyle w:val="Appelnotedebasdep"/>
          <w:rFonts w:ascii="Calibri" w:hAnsi="Calibri" w:cs="Calibri"/>
          <w:color w:val="000000"/>
        </w:rPr>
        <w:footnoteReference w:id="1"/>
      </w:r>
      <w:r w:rsidR="009F684F" w:rsidRPr="004E7249">
        <w:rPr>
          <w:rFonts w:ascii="Calibri" w:hAnsi="Calibri" w:cs="Calibri"/>
          <w:color w:val="000000"/>
        </w:rPr>
        <w:t xml:space="preserve"> </w:t>
      </w:r>
      <w:hyperlink r:id="rId9" w:tgtFrame="_blank" w:history="1">
        <w:r w:rsidR="009F684F" w:rsidRPr="004E7249">
          <w:rPr>
            <w:rStyle w:val="Lienhypertexte"/>
            <w:rFonts w:ascii="Calibri" w:hAnsi="Calibri" w:cs="Calibri"/>
          </w:rPr>
          <w:t>https://www.enqa.eu/esg-standards-and-guidelines-for-quality-assurance-in-the-european-higher-education-area/</w:t>
        </w:r>
      </w:hyperlink>
      <w:r w:rsidR="00E31721" w:rsidRPr="004E7249">
        <w:rPr>
          <w:rStyle w:val="object"/>
          <w:rFonts w:ascii="Calibri" w:hAnsi="Calibri" w:cs="Calibri"/>
          <w:color w:val="000000"/>
        </w:rPr>
        <w:t xml:space="preserve"> </w:t>
      </w:r>
      <w:r w:rsidRPr="004E7249">
        <w:rPr>
          <w:sz w:val="24"/>
          <w:szCs w:val="24"/>
        </w:rPr>
        <w:t>). Il est conçu pour traduire les exigences d</w:t>
      </w:r>
      <w:r w:rsidR="00D6255B" w:rsidRPr="004E7249">
        <w:rPr>
          <w:sz w:val="24"/>
          <w:szCs w:val="24"/>
        </w:rPr>
        <w:t>e</w:t>
      </w:r>
      <w:r w:rsidRPr="004E7249">
        <w:rPr>
          <w:sz w:val="24"/>
          <w:szCs w:val="24"/>
        </w:rPr>
        <w:t xml:space="preserve"> </w:t>
      </w:r>
      <w:r w:rsidR="00D6255B" w:rsidRPr="004E7249">
        <w:rPr>
          <w:sz w:val="24"/>
          <w:szCs w:val="24"/>
        </w:rPr>
        <w:t>R</w:t>
      </w:r>
      <w:r w:rsidRPr="004E7249">
        <w:rPr>
          <w:sz w:val="24"/>
          <w:szCs w:val="24"/>
        </w:rPr>
        <w:t>éseau Figure</w:t>
      </w:r>
      <w:r w:rsidR="00D6255B" w:rsidRPr="004E7249">
        <w:rPr>
          <w:sz w:val="24"/>
          <w:szCs w:val="24"/>
        </w:rPr>
        <w:t>®</w:t>
      </w:r>
      <w:r w:rsidRPr="004E7249">
        <w:rPr>
          <w:sz w:val="24"/>
          <w:szCs w:val="24"/>
        </w:rPr>
        <w:t>.</w:t>
      </w:r>
      <w:r w:rsidR="00316B6B" w:rsidRPr="004E7249">
        <w:rPr>
          <w:sz w:val="24"/>
          <w:szCs w:val="24"/>
        </w:rPr>
        <w:t xml:space="preserve"> La qualité d’un cursus est donc </w:t>
      </w:r>
      <w:r w:rsidR="00417D7B" w:rsidRPr="004E7249">
        <w:rPr>
          <w:sz w:val="24"/>
          <w:szCs w:val="24"/>
        </w:rPr>
        <w:t>appréciée selon le</w:t>
      </w:r>
      <w:r w:rsidR="00316B6B" w:rsidRPr="004E7249">
        <w:rPr>
          <w:sz w:val="24"/>
          <w:szCs w:val="24"/>
        </w:rPr>
        <w:t xml:space="preserve"> degré</w:t>
      </w:r>
      <w:r w:rsidR="00417D7B" w:rsidRPr="004E7249">
        <w:rPr>
          <w:sz w:val="24"/>
          <w:szCs w:val="24"/>
        </w:rPr>
        <w:t xml:space="preserve"> de conformité de ce dernier au </w:t>
      </w:r>
      <w:r w:rsidR="00316B6B" w:rsidRPr="004E7249">
        <w:rPr>
          <w:sz w:val="24"/>
          <w:szCs w:val="24"/>
        </w:rPr>
        <w:t>REQ-CMI ; elle n’est jamais une propriété absolue.</w:t>
      </w:r>
    </w:p>
    <w:p w14:paraId="5C759EBC" w14:textId="72433852" w:rsidR="00050554" w:rsidRDefault="00EE256A" w:rsidP="008016A5">
      <w:pPr>
        <w:jc w:val="both"/>
        <w:rPr>
          <w:sz w:val="16"/>
          <w:szCs w:val="16"/>
        </w:rPr>
      </w:pPr>
      <w:r>
        <w:rPr>
          <w:sz w:val="24"/>
          <w:szCs w:val="24"/>
        </w:rPr>
        <w:t>Ce référentiel</w:t>
      </w:r>
      <w:r w:rsidR="008016A5">
        <w:rPr>
          <w:sz w:val="24"/>
          <w:szCs w:val="24"/>
        </w:rPr>
        <w:t xml:space="preserve"> </w:t>
      </w:r>
      <w:r w:rsidR="008016A5" w:rsidRPr="000B4969">
        <w:rPr>
          <w:sz w:val="24"/>
          <w:szCs w:val="24"/>
        </w:rPr>
        <w:t>ser</w:t>
      </w:r>
      <w:r w:rsidR="008016A5">
        <w:rPr>
          <w:sz w:val="24"/>
          <w:szCs w:val="24"/>
        </w:rPr>
        <w:t>t d’abord à guider le processus d’auto</w:t>
      </w:r>
      <w:r w:rsidR="008016A5" w:rsidRPr="000B4969">
        <w:rPr>
          <w:sz w:val="24"/>
          <w:szCs w:val="24"/>
        </w:rPr>
        <w:t xml:space="preserve">évaluation </w:t>
      </w:r>
      <w:r w:rsidR="0085267F">
        <w:rPr>
          <w:sz w:val="24"/>
          <w:szCs w:val="24"/>
        </w:rPr>
        <w:t xml:space="preserve">(encore appelée évaluation interne) </w:t>
      </w:r>
      <w:r w:rsidR="008016A5">
        <w:rPr>
          <w:sz w:val="24"/>
          <w:szCs w:val="24"/>
        </w:rPr>
        <w:t>pratiqué par l’entité responsable d’un cursus</w:t>
      </w:r>
      <w:r w:rsidR="00050554">
        <w:rPr>
          <w:sz w:val="24"/>
          <w:szCs w:val="24"/>
        </w:rPr>
        <w:t xml:space="preserve"> existant</w:t>
      </w:r>
      <w:r w:rsidR="008016A5">
        <w:rPr>
          <w:sz w:val="24"/>
          <w:szCs w:val="24"/>
        </w:rPr>
        <w:t xml:space="preserve">, </w:t>
      </w:r>
      <w:r w:rsidR="00880CA0">
        <w:rPr>
          <w:sz w:val="24"/>
          <w:szCs w:val="24"/>
        </w:rPr>
        <w:t>qui inclut une identification</w:t>
      </w:r>
      <w:r w:rsidR="008016A5">
        <w:rPr>
          <w:sz w:val="24"/>
          <w:szCs w:val="24"/>
        </w:rPr>
        <w:t xml:space="preserve"> </w:t>
      </w:r>
      <w:proofErr w:type="gramStart"/>
      <w:r w:rsidR="00880CA0">
        <w:rPr>
          <w:sz w:val="24"/>
          <w:szCs w:val="24"/>
        </w:rPr>
        <w:t>d</w:t>
      </w:r>
      <w:r w:rsidR="008016A5">
        <w:rPr>
          <w:sz w:val="24"/>
          <w:szCs w:val="24"/>
        </w:rPr>
        <w:t>es</w:t>
      </w:r>
      <w:proofErr w:type="gramEnd"/>
      <w:r w:rsidR="008016A5">
        <w:rPr>
          <w:sz w:val="24"/>
          <w:szCs w:val="24"/>
        </w:rPr>
        <w:t xml:space="preserve"> évolutions à conduire en vue d’une amélioration continue de la qualité. </w:t>
      </w:r>
      <w:r w:rsidR="004277DC" w:rsidRPr="004277DC">
        <w:rPr>
          <w:sz w:val="24"/>
          <w:szCs w:val="24"/>
        </w:rPr>
        <w:t>Lors de la création d</w:t>
      </w:r>
      <w:r w:rsidR="004277DC">
        <w:rPr>
          <w:sz w:val="24"/>
          <w:szCs w:val="24"/>
        </w:rPr>
        <w:t>’un</w:t>
      </w:r>
      <w:r w:rsidR="004277DC" w:rsidRPr="00050554">
        <w:rPr>
          <w:sz w:val="24"/>
          <w:szCs w:val="24"/>
        </w:rPr>
        <w:t xml:space="preserve"> nouveau</w:t>
      </w:r>
      <w:r w:rsidR="004277DC">
        <w:rPr>
          <w:sz w:val="24"/>
          <w:szCs w:val="24"/>
        </w:rPr>
        <w:t xml:space="preserve"> cursu</w:t>
      </w:r>
      <w:r w:rsidR="004277DC" w:rsidRPr="004277DC">
        <w:rPr>
          <w:sz w:val="24"/>
          <w:szCs w:val="24"/>
        </w:rPr>
        <w:t>s, l</w:t>
      </w:r>
      <w:r w:rsidR="004277DC">
        <w:rPr>
          <w:sz w:val="24"/>
          <w:szCs w:val="24"/>
        </w:rPr>
        <w:t>’usage du</w:t>
      </w:r>
      <w:r w:rsidR="004277DC" w:rsidRPr="00050554">
        <w:rPr>
          <w:sz w:val="24"/>
          <w:szCs w:val="24"/>
        </w:rPr>
        <w:t xml:space="preserve"> référentiel permet de prendre d’emblée en c</w:t>
      </w:r>
      <w:r w:rsidR="00BD75D3">
        <w:rPr>
          <w:sz w:val="24"/>
          <w:szCs w:val="24"/>
        </w:rPr>
        <w:t>ompte les points et ainsi</w:t>
      </w:r>
      <w:r w:rsidR="004277DC" w:rsidRPr="00050554">
        <w:rPr>
          <w:sz w:val="24"/>
          <w:szCs w:val="24"/>
        </w:rPr>
        <w:t xml:space="preserve"> d’att</w:t>
      </w:r>
      <w:r w:rsidR="00050554">
        <w:rPr>
          <w:sz w:val="24"/>
          <w:szCs w:val="24"/>
        </w:rPr>
        <w:t>ester de la qualité obtenue par construction</w:t>
      </w:r>
      <w:r w:rsidR="004277DC" w:rsidRPr="00050554">
        <w:rPr>
          <w:sz w:val="24"/>
          <w:szCs w:val="24"/>
        </w:rPr>
        <w:t>.</w:t>
      </w:r>
    </w:p>
    <w:p w14:paraId="692508D1" w14:textId="27C4D680" w:rsidR="008016A5" w:rsidRDefault="008016A5" w:rsidP="008016A5">
      <w:pPr>
        <w:jc w:val="both"/>
        <w:rPr>
          <w:sz w:val="24"/>
          <w:szCs w:val="24"/>
        </w:rPr>
      </w:pPr>
      <w:r w:rsidRPr="004E7249">
        <w:rPr>
          <w:sz w:val="24"/>
          <w:szCs w:val="24"/>
        </w:rPr>
        <w:t>Dans le cadre des demandes d’accréditatio</w:t>
      </w:r>
      <w:r w:rsidR="004E7249" w:rsidRPr="004E7249">
        <w:rPr>
          <w:sz w:val="24"/>
          <w:szCs w:val="24"/>
        </w:rPr>
        <w:t>n et ré-accréditation</w:t>
      </w:r>
      <w:r w:rsidRPr="004E7249">
        <w:rPr>
          <w:sz w:val="24"/>
          <w:szCs w:val="24"/>
        </w:rPr>
        <w:t>, ce référentiel constitue également la base du travail d’évaluation</w:t>
      </w:r>
      <w:r w:rsidR="0085267F" w:rsidRPr="004E7249">
        <w:rPr>
          <w:sz w:val="24"/>
          <w:szCs w:val="24"/>
        </w:rPr>
        <w:t>, dite externe,</w:t>
      </w:r>
      <w:r w:rsidRPr="004E7249">
        <w:rPr>
          <w:sz w:val="24"/>
          <w:szCs w:val="24"/>
        </w:rPr>
        <w:t xml:space="preserve"> réalisé par le comité d’experts </w:t>
      </w:r>
      <w:r w:rsidR="0085267F" w:rsidRPr="004E7249">
        <w:rPr>
          <w:sz w:val="24"/>
          <w:szCs w:val="24"/>
        </w:rPr>
        <w:t>désigné par le comité d’accréditation d</w:t>
      </w:r>
      <w:r w:rsidR="00D6255B" w:rsidRPr="004E7249">
        <w:rPr>
          <w:sz w:val="24"/>
          <w:szCs w:val="24"/>
        </w:rPr>
        <w:t>e</w:t>
      </w:r>
      <w:r w:rsidR="0085267F" w:rsidRPr="004E7249">
        <w:rPr>
          <w:sz w:val="24"/>
          <w:szCs w:val="24"/>
        </w:rPr>
        <w:t xml:space="preserve"> </w:t>
      </w:r>
      <w:r w:rsidR="00D6255B" w:rsidRPr="004E7249">
        <w:rPr>
          <w:sz w:val="24"/>
          <w:szCs w:val="24"/>
        </w:rPr>
        <w:t>R</w:t>
      </w:r>
      <w:r w:rsidR="0085267F" w:rsidRPr="004E7249">
        <w:rPr>
          <w:sz w:val="24"/>
          <w:szCs w:val="24"/>
        </w:rPr>
        <w:t>éseau Figure</w:t>
      </w:r>
      <w:r w:rsidR="00D6255B" w:rsidRPr="004E7249">
        <w:rPr>
          <w:sz w:val="24"/>
          <w:szCs w:val="24"/>
        </w:rPr>
        <w:t xml:space="preserve">® </w:t>
      </w:r>
      <w:r w:rsidR="0085267F" w:rsidRPr="004E7249">
        <w:rPr>
          <w:sz w:val="24"/>
          <w:szCs w:val="24"/>
        </w:rPr>
        <w:t>auquel il</w:t>
      </w:r>
      <w:r w:rsidRPr="004E7249">
        <w:rPr>
          <w:sz w:val="24"/>
          <w:szCs w:val="24"/>
        </w:rPr>
        <w:t xml:space="preserve"> transmet ses conclusions et recommandations. </w:t>
      </w:r>
      <w:r w:rsidR="00844CF4" w:rsidRPr="004E7249">
        <w:rPr>
          <w:sz w:val="24"/>
          <w:szCs w:val="24"/>
        </w:rPr>
        <w:t>Les décisions du comité d’accréditation prennent également appui, pour partie, sur ce référentiel.</w:t>
      </w:r>
    </w:p>
    <w:p w14:paraId="2FE377C6" w14:textId="4AFAE384" w:rsidR="00050554" w:rsidRPr="002B2FD8" w:rsidRDefault="001D403F" w:rsidP="008016A5">
      <w:pPr>
        <w:jc w:val="both"/>
      </w:pPr>
      <w:r>
        <w:rPr>
          <w:sz w:val="24"/>
          <w:szCs w:val="24"/>
        </w:rPr>
        <w:t>À</w:t>
      </w:r>
      <w:r w:rsidR="008016A5">
        <w:rPr>
          <w:sz w:val="24"/>
          <w:szCs w:val="24"/>
        </w:rPr>
        <w:t xml:space="preserve"> l’instar des référentiels utilisés par la majorité des agences européennes d’accréditation, en particulier celles délivrant le label EUR-ACE® (</w:t>
      </w:r>
      <w:proofErr w:type="spellStart"/>
      <w:r w:rsidR="008016A5">
        <w:rPr>
          <w:sz w:val="24"/>
          <w:szCs w:val="24"/>
        </w:rPr>
        <w:t>European</w:t>
      </w:r>
      <w:proofErr w:type="spellEnd"/>
      <w:r w:rsidR="008016A5">
        <w:rPr>
          <w:sz w:val="24"/>
          <w:szCs w:val="24"/>
        </w:rPr>
        <w:t xml:space="preserve"> </w:t>
      </w:r>
      <w:proofErr w:type="spellStart"/>
      <w:r w:rsidR="008016A5">
        <w:rPr>
          <w:sz w:val="24"/>
          <w:szCs w:val="24"/>
        </w:rPr>
        <w:t>accredited</w:t>
      </w:r>
      <w:proofErr w:type="spellEnd"/>
      <w:r w:rsidR="008016A5">
        <w:rPr>
          <w:sz w:val="24"/>
          <w:szCs w:val="24"/>
        </w:rPr>
        <w:t xml:space="preserve"> </w:t>
      </w:r>
      <w:proofErr w:type="spellStart"/>
      <w:r w:rsidR="008016A5">
        <w:rPr>
          <w:sz w:val="24"/>
          <w:szCs w:val="24"/>
        </w:rPr>
        <w:t>engineer</w:t>
      </w:r>
      <w:proofErr w:type="spellEnd"/>
      <w:r w:rsidR="00E31721">
        <w:rPr>
          <w:sz w:val="24"/>
          <w:szCs w:val="24"/>
        </w:rPr>
        <w:t>, voir</w:t>
      </w:r>
      <w:r w:rsidR="00441CE5">
        <w:rPr>
          <w:rStyle w:val="Appelnotedebasdep"/>
          <w:sz w:val="24"/>
          <w:szCs w:val="24"/>
        </w:rPr>
        <w:footnoteReference w:id="2"/>
      </w:r>
      <w:r w:rsidR="00E31721">
        <w:rPr>
          <w:sz w:val="24"/>
          <w:szCs w:val="24"/>
        </w:rPr>
        <w:t xml:space="preserve"> </w:t>
      </w:r>
      <w:hyperlink r:id="rId10" w:history="1">
        <w:r w:rsidR="0097152E" w:rsidRPr="00865D1A">
          <w:rPr>
            <w:rStyle w:val="Lienhypertexte"/>
          </w:rPr>
          <w:t>https://www.enaee.eu/wp-content/uploads/2018/11/EAFSG-Doc-Full-status-8-Sept-15-on-web-fm.pdf</w:t>
        </w:r>
      </w:hyperlink>
      <w:r w:rsidR="00E31721">
        <w:rPr>
          <w:rStyle w:val="object-hover"/>
        </w:rPr>
        <w:t xml:space="preserve"> </w:t>
      </w:r>
      <w:r w:rsidR="008016A5">
        <w:rPr>
          <w:sz w:val="24"/>
          <w:szCs w:val="24"/>
        </w:rPr>
        <w:t xml:space="preserve">), il </w:t>
      </w:r>
      <w:r w:rsidR="004E7249">
        <w:rPr>
          <w:sz w:val="24"/>
          <w:szCs w:val="24"/>
        </w:rPr>
        <w:t xml:space="preserve">s’organise en trois niveaux. Dans le contexte du référentiel Figure®, ces niveaux sont </w:t>
      </w:r>
      <w:r w:rsidR="004E7249">
        <w:rPr>
          <w:sz w:val="24"/>
          <w:szCs w:val="24"/>
        </w:rPr>
        <w:lastRenderedPageBreak/>
        <w:t>appelés :</w:t>
      </w:r>
      <w:r w:rsidR="008016A5" w:rsidRPr="000B4969">
        <w:rPr>
          <w:sz w:val="24"/>
          <w:szCs w:val="24"/>
        </w:rPr>
        <w:t xml:space="preserve"> </w:t>
      </w:r>
      <w:r w:rsidR="008016A5" w:rsidRPr="00B37775">
        <w:rPr>
          <w:b/>
          <w:sz w:val="24"/>
          <w:szCs w:val="24"/>
        </w:rPr>
        <w:t>domaines</w:t>
      </w:r>
      <w:r w:rsidR="008016A5" w:rsidRPr="000B4969">
        <w:rPr>
          <w:sz w:val="24"/>
          <w:szCs w:val="24"/>
        </w:rPr>
        <w:t xml:space="preserve">, qui comportent </w:t>
      </w:r>
      <w:r w:rsidR="008016A5">
        <w:rPr>
          <w:sz w:val="24"/>
          <w:szCs w:val="24"/>
        </w:rPr>
        <w:t>chacun</w:t>
      </w:r>
      <w:r w:rsidR="008016A5" w:rsidRPr="000B4969">
        <w:rPr>
          <w:sz w:val="24"/>
          <w:szCs w:val="24"/>
        </w:rPr>
        <w:t xml:space="preserve"> des </w:t>
      </w:r>
      <w:r w:rsidR="008016A5" w:rsidRPr="00B37775">
        <w:rPr>
          <w:b/>
          <w:sz w:val="24"/>
          <w:szCs w:val="24"/>
        </w:rPr>
        <w:t>références</w:t>
      </w:r>
      <w:r w:rsidR="008016A5">
        <w:rPr>
          <w:b/>
          <w:sz w:val="24"/>
          <w:szCs w:val="24"/>
        </w:rPr>
        <w:t xml:space="preserve"> </w:t>
      </w:r>
      <w:r w:rsidR="008016A5" w:rsidRPr="00B37775">
        <w:rPr>
          <w:sz w:val="24"/>
          <w:szCs w:val="24"/>
        </w:rPr>
        <w:t>(</w:t>
      </w:r>
      <w:r w:rsidR="008016A5">
        <w:rPr>
          <w:sz w:val="24"/>
          <w:szCs w:val="24"/>
        </w:rPr>
        <w:t xml:space="preserve">les </w:t>
      </w:r>
      <w:r w:rsidR="008016A5" w:rsidRPr="00B37775">
        <w:rPr>
          <w:sz w:val="24"/>
          <w:szCs w:val="24"/>
        </w:rPr>
        <w:t>sous-domaines)</w:t>
      </w:r>
      <w:r w:rsidR="008016A5" w:rsidRPr="000B4969">
        <w:rPr>
          <w:sz w:val="24"/>
          <w:szCs w:val="24"/>
        </w:rPr>
        <w:t xml:space="preserve">, elles-mêmes </w:t>
      </w:r>
      <w:r w:rsidR="008016A5">
        <w:rPr>
          <w:sz w:val="24"/>
          <w:szCs w:val="24"/>
        </w:rPr>
        <w:t>décomposées en</w:t>
      </w:r>
      <w:r w:rsidR="008016A5" w:rsidRPr="000B4969">
        <w:rPr>
          <w:sz w:val="24"/>
          <w:szCs w:val="24"/>
        </w:rPr>
        <w:t xml:space="preserve"> un certain nombre de </w:t>
      </w:r>
      <w:r w:rsidR="008016A5" w:rsidRPr="00B37775">
        <w:rPr>
          <w:b/>
          <w:sz w:val="24"/>
          <w:szCs w:val="24"/>
        </w:rPr>
        <w:t>critères</w:t>
      </w:r>
      <w:r w:rsidR="004E7249" w:rsidRPr="004E7249">
        <w:rPr>
          <w:sz w:val="24"/>
          <w:szCs w:val="24"/>
        </w:rPr>
        <w:t>.</w:t>
      </w:r>
    </w:p>
    <w:p w14:paraId="0DDF05E4" w14:textId="4AF4F4F5" w:rsidR="00140048" w:rsidRDefault="00050554" w:rsidP="008016A5">
      <w:pPr>
        <w:jc w:val="both"/>
        <w:rPr>
          <w:sz w:val="24"/>
          <w:szCs w:val="24"/>
        </w:rPr>
      </w:pPr>
      <w:r w:rsidRPr="000B4969">
        <w:rPr>
          <w:sz w:val="24"/>
          <w:szCs w:val="24"/>
        </w:rPr>
        <w:t xml:space="preserve">Les </w:t>
      </w:r>
      <w:r>
        <w:rPr>
          <w:sz w:val="24"/>
          <w:szCs w:val="24"/>
        </w:rPr>
        <w:t>domaines</w:t>
      </w:r>
      <w:r w:rsidRPr="000B4969">
        <w:rPr>
          <w:sz w:val="24"/>
          <w:szCs w:val="24"/>
        </w:rPr>
        <w:t xml:space="preserve"> désignent les </w:t>
      </w:r>
      <w:r>
        <w:rPr>
          <w:sz w:val="24"/>
          <w:szCs w:val="24"/>
        </w:rPr>
        <w:t>principaux angles</w:t>
      </w:r>
      <w:r w:rsidR="00BD75D3">
        <w:rPr>
          <w:sz w:val="24"/>
          <w:szCs w:val="24"/>
        </w:rPr>
        <w:t>,</w:t>
      </w:r>
      <w:r>
        <w:rPr>
          <w:sz w:val="24"/>
          <w:szCs w:val="24"/>
        </w:rPr>
        <w:t xml:space="preserve"> ou points</w:t>
      </w:r>
      <w:r w:rsidRPr="000B4969">
        <w:rPr>
          <w:sz w:val="24"/>
          <w:szCs w:val="24"/>
        </w:rPr>
        <w:t xml:space="preserve"> </w:t>
      </w:r>
      <w:r>
        <w:rPr>
          <w:sz w:val="24"/>
          <w:szCs w:val="24"/>
        </w:rPr>
        <w:t>d’intérêt</w:t>
      </w:r>
      <w:r w:rsidR="00BD75D3">
        <w:rPr>
          <w:sz w:val="24"/>
          <w:szCs w:val="24"/>
        </w:rPr>
        <w:t>,</w:t>
      </w:r>
      <w:r>
        <w:rPr>
          <w:sz w:val="24"/>
          <w:szCs w:val="24"/>
        </w:rPr>
        <w:t xml:space="preserve"> sous lesquels</w:t>
      </w:r>
      <w:r w:rsidRPr="000B4969">
        <w:rPr>
          <w:sz w:val="24"/>
          <w:szCs w:val="24"/>
        </w:rPr>
        <w:t xml:space="preserve"> l’évaluation d</w:t>
      </w:r>
      <w:r>
        <w:rPr>
          <w:sz w:val="24"/>
          <w:szCs w:val="24"/>
        </w:rPr>
        <w:t>oit être conduite.</w:t>
      </w:r>
      <w:r w:rsidRPr="000B4969">
        <w:rPr>
          <w:sz w:val="24"/>
          <w:szCs w:val="24"/>
        </w:rPr>
        <w:t xml:space="preserve"> Chaque critère</w:t>
      </w:r>
      <w:r>
        <w:rPr>
          <w:sz w:val="24"/>
          <w:szCs w:val="24"/>
        </w:rPr>
        <w:t xml:space="preserve"> se présente sous la forme d’un ensemble</w:t>
      </w:r>
      <w:r w:rsidRPr="000B4969">
        <w:rPr>
          <w:sz w:val="24"/>
          <w:szCs w:val="24"/>
        </w:rPr>
        <w:t xml:space="preserve"> d’affirmations</w:t>
      </w:r>
      <w:r>
        <w:rPr>
          <w:sz w:val="24"/>
          <w:szCs w:val="24"/>
        </w:rPr>
        <w:t xml:space="preserve"> qui doivent être valides</w:t>
      </w:r>
      <w:r w:rsidRPr="000B4969">
        <w:rPr>
          <w:sz w:val="24"/>
          <w:szCs w:val="24"/>
        </w:rPr>
        <w:t xml:space="preserve"> </w:t>
      </w:r>
      <w:r w:rsidRPr="00050554">
        <w:rPr>
          <w:sz w:val="24"/>
          <w:szCs w:val="24"/>
        </w:rPr>
        <w:t>po</w:t>
      </w:r>
      <w:r w:rsidRPr="000B4969">
        <w:rPr>
          <w:sz w:val="24"/>
          <w:szCs w:val="24"/>
        </w:rPr>
        <w:t xml:space="preserve">ur </w:t>
      </w:r>
      <w:r w:rsidR="00DE4137">
        <w:rPr>
          <w:sz w:val="24"/>
          <w:szCs w:val="24"/>
        </w:rPr>
        <w:t>chaque cursus considér</w:t>
      </w:r>
      <w:r>
        <w:rPr>
          <w:sz w:val="24"/>
          <w:szCs w:val="24"/>
        </w:rPr>
        <w:t>é.</w:t>
      </w:r>
    </w:p>
    <w:p w14:paraId="0F20D47C" w14:textId="1153DD64" w:rsidR="00140048" w:rsidRPr="00140048" w:rsidRDefault="00050554" w:rsidP="00140048">
      <w:pPr>
        <w:jc w:val="both"/>
        <w:rPr>
          <w:sz w:val="24"/>
          <w:szCs w:val="24"/>
        </w:rPr>
      </w:pPr>
      <w:r w:rsidRPr="004E7249">
        <w:rPr>
          <w:sz w:val="24"/>
          <w:szCs w:val="24"/>
        </w:rPr>
        <w:t>Afin de s’assurer de la qualité d</w:t>
      </w:r>
      <w:r w:rsidR="00140048" w:rsidRPr="004E7249">
        <w:rPr>
          <w:sz w:val="24"/>
          <w:szCs w:val="24"/>
        </w:rPr>
        <w:t>’un cursus</w:t>
      </w:r>
      <w:r w:rsidRPr="004E7249">
        <w:rPr>
          <w:sz w:val="24"/>
          <w:szCs w:val="24"/>
        </w:rPr>
        <w:t xml:space="preserve"> vis-à-vis du </w:t>
      </w:r>
      <w:r w:rsidR="00036604" w:rsidRPr="004E7249">
        <w:rPr>
          <w:sz w:val="24"/>
          <w:szCs w:val="24"/>
        </w:rPr>
        <w:t xml:space="preserve">référentiel </w:t>
      </w:r>
      <w:r w:rsidRPr="004E7249">
        <w:rPr>
          <w:sz w:val="24"/>
          <w:szCs w:val="24"/>
        </w:rPr>
        <w:t xml:space="preserve">REQ-CMI, il faut donc examiner chacune des assertions et pouvoir décider si elle </w:t>
      </w:r>
      <w:r w:rsidR="00D6255B" w:rsidRPr="004E7249">
        <w:rPr>
          <w:sz w:val="24"/>
          <w:szCs w:val="24"/>
        </w:rPr>
        <w:t xml:space="preserve">est </w:t>
      </w:r>
      <w:r w:rsidRPr="004E7249">
        <w:rPr>
          <w:sz w:val="24"/>
          <w:szCs w:val="24"/>
        </w:rPr>
        <w:t>valide. Cette décision va reposer sur les réponses à un ensemble de questions associées</w:t>
      </w:r>
      <w:r w:rsidR="00BD75D3" w:rsidRPr="004E7249">
        <w:rPr>
          <w:sz w:val="24"/>
          <w:szCs w:val="24"/>
        </w:rPr>
        <w:t xml:space="preserve"> à cette affirma</w:t>
      </w:r>
      <w:r w:rsidRPr="004E7249">
        <w:rPr>
          <w:sz w:val="24"/>
          <w:szCs w:val="24"/>
        </w:rPr>
        <w:t xml:space="preserve">tion. </w:t>
      </w:r>
      <w:r w:rsidR="00140048" w:rsidRPr="004E7249">
        <w:rPr>
          <w:sz w:val="24"/>
          <w:szCs w:val="24"/>
        </w:rPr>
        <w:t>Le référentiel REQ-CMI propose un ensemble minimal de questions pour chaque critère (cf. Annexe 2).</w:t>
      </w:r>
    </w:p>
    <w:p w14:paraId="0A198D38" w14:textId="77777777" w:rsidR="00D520A7" w:rsidRDefault="00D520A7" w:rsidP="00F51648">
      <w:pPr>
        <w:tabs>
          <w:tab w:val="left" w:pos="709"/>
        </w:tabs>
        <w:spacing w:before="180" w:after="0"/>
        <w:ind w:right="159"/>
        <w:jc w:val="both"/>
        <w:rPr>
          <w:sz w:val="28"/>
          <w:szCs w:val="28"/>
        </w:rPr>
      </w:pPr>
    </w:p>
    <w:p w14:paraId="4A541565" w14:textId="38957287" w:rsidR="00F51648" w:rsidRDefault="001F18B2" w:rsidP="00F51648">
      <w:pPr>
        <w:tabs>
          <w:tab w:val="left" w:pos="709"/>
        </w:tabs>
        <w:spacing w:before="180" w:after="0"/>
        <w:ind w:right="159"/>
        <w:jc w:val="both"/>
        <w:rPr>
          <w:sz w:val="28"/>
          <w:szCs w:val="28"/>
        </w:rPr>
      </w:pPr>
      <w:r>
        <w:rPr>
          <w:sz w:val="28"/>
          <w:szCs w:val="28"/>
        </w:rPr>
        <w:t>Q</w:t>
      </w:r>
      <w:r w:rsidR="00F51648">
        <w:rPr>
          <w:sz w:val="28"/>
          <w:szCs w:val="28"/>
        </w:rPr>
        <w:t xml:space="preserve">ualité </w:t>
      </w:r>
      <w:r w:rsidR="003F2E75">
        <w:rPr>
          <w:sz w:val="28"/>
          <w:szCs w:val="28"/>
        </w:rPr>
        <w:t xml:space="preserve">et assurance qualité </w:t>
      </w:r>
      <w:r w:rsidR="00F51648">
        <w:rPr>
          <w:sz w:val="28"/>
          <w:szCs w:val="28"/>
        </w:rPr>
        <w:t>de</w:t>
      </w:r>
      <w:r w:rsidR="00D5679C">
        <w:rPr>
          <w:sz w:val="28"/>
          <w:szCs w:val="28"/>
        </w:rPr>
        <w:t>s</w:t>
      </w:r>
      <w:r w:rsidR="00F51648">
        <w:rPr>
          <w:sz w:val="28"/>
          <w:szCs w:val="28"/>
        </w:rPr>
        <w:t xml:space="preserve"> </w:t>
      </w:r>
      <w:r w:rsidR="000A7A59">
        <w:rPr>
          <w:sz w:val="28"/>
          <w:szCs w:val="28"/>
        </w:rPr>
        <w:t>CMI</w:t>
      </w:r>
      <w:r w:rsidR="004277DC">
        <w:rPr>
          <w:sz w:val="28"/>
          <w:szCs w:val="28"/>
        </w:rPr>
        <w:t xml:space="preserve"> </w:t>
      </w:r>
      <w:r w:rsidR="003F2E75">
        <w:rPr>
          <w:sz w:val="28"/>
          <w:szCs w:val="28"/>
        </w:rPr>
        <w:t>-</w:t>
      </w:r>
      <w:r w:rsidR="004277DC">
        <w:rPr>
          <w:sz w:val="28"/>
          <w:szCs w:val="28"/>
        </w:rPr>
        <w:t xml:space="preserve"> exploitation du référentiel</w:t>
      </w:r>
    </w:p>
    <w:p w14:paraId="5133E512" w14:textId="7A571353" w:rsidR="003E28AC" w:rsidRDefault="00326761" w:rsidP="00326761">
      <w:pPr>
        <w:tabs>
          <w:tab w:val="left" w:pos="709"/>
        </w:tabs>
        <w:spacing w:before="180" w:after="0"/>
        <w:ind w:right="159"/>
        <w:jc w:val="both"/>
        <w:rPr>
          <w:sz w:val="24"/>
          <w:szCs w:val="24"/>
        </w:rPr>
      </w:pPr>
      <w:r>
        <w:rPr>
          <w:sz w:val="24"/>
          <w:szCs w:val="24"/>
        </w:rPr>
        <w:t>La</w:t>
      </w:r>
      <w:r w:rsidRPr="000B4969">
        <w:rPr>
          <w:sz w:val="24"/>
          <w:szCs w:val="24"/>
        </w:rPr>
        <w:t xml:space="preserve"> </w:t>
      </w:r>
      <w:r w:rsidRPr="000930B6">
        <w:rPr>
          <w:sz w:val="24"/>
          <w:szCs w:val="24"/>
        </w:rPr>
        <w:t xml:space="preserve">qualité d’un cursus </w:t>
      </w:r>
      <w:r w:rsidR="00404A50" w:rsidRPr="000930B6">
        <w:rPr>
          <w:sz w:val="24"/>
          <w:szCs w:val="24"/>
        </w:rPr>
        <w:t>correspond au bilan de la comparaison des différents aspects de ce programme de formation avec les exigences d</w:t>
      </w:r>
      <w:r w:rsidR="00D6255B" w:rsidRPr="000930B6">
        <w:rPr>
          <w:sz w:val="24"/>
          <w:szCs w:val="24"/>
        </w:rPr>
        <w:t>e</w:t>
      </w:r>
      <w:r w:rsidR="00404A50" w:rsidRPr="000930B6">
        <w:rPr>
          <w:sz w:val="24"/>
          <w:szCs w:val="24"/>
        </w:rPr>
        <w:t xml:space="preserve"> </w:t>
      </w:r>
      <w:r w:rsidR="00D6255B" w:rsidRPr="000930B6">
        <w:rPr>
          <w:sz w:val="24"/>
          <w:szCs w:val="24"/>
        </w:rPr>
        <w:t>R</w:t>
      </w:r>
      <w:r w:rsidR="00404A50" w:rsidRPr="000930B6">
        <w:rPr>
          <w:sz w:val="24"/>
          <w:szCs w:val="24"/>
        </w:rPr>
        <w:t>éseau Figure</w:t>
      </w:r>
      <w:r w:rsidR="00D6255B" w:rsidRPr="000930B6">
        <w:rPr>
          <w:sz w:val="24"/>
          <w:szCs w:val="24"/>
        </w:rPr>
        <w:t>®</w:t>
      </w:r>
      <w:r w:rsidR="000246F0" w:rsidRPr="000930B6">
        <w:rPr>
          <w:sz w:val="24"/>
          <w:szCs w:val="24"/>
        </w:rPr>
        <w:t xml:space="preserve"> </w:t>
      </w:r>
      <w:r w:rsidR="00FF4251" w:rsidRPr="000930B6">
        <w:rPr>
          <w:sz w:val="24"/>
          <w:szCs w:val="24"/>
        </w:rPr>
        <w:t xml:space="preserve">pour ces mêmes aspects et </w:t>
      </w:r>
      <w:r w:rsidR="000246F0" w:rsidRPr="000930B6">
        <w:rPr>
          <w:sz w:val="24"/>
          <w:szCs w:val="24"/>
        </w:rPr>
        <w:t>formul</w:t>
      </w:r>
      <w:r w:rsidR="00404A50" w:rsidRPr="000930B6">
        <w:rPr>
          <w:sz w:val="24"/>
          <w:szCs w:val="24"/>
        </w:rPr>
        <w:t>ées</w:t>
      </w:r>
      <w:r w:rsidR="000246F0" w:rsidRPr="000930B6">
        <w:rPr>
          <w:sz w:val="24"/>
          <w:szCs w:val="24"/>
        </w:rPr>
        <w:t xml:space="preserve"> dans le</w:t>
      </w:r>
      <w:r w:rsidR="00404A50" w:rsidRPr="000930B6">
        <w:rPr>
          <w:sz w:val="24"/>
          <w:szCs w:val="24"/>
        </w:rPr>
        <w:t xml:space="preserve"> référentiel</w:t>
      </w:r>
      <w:r w:rsidR="000246F0" w:rsidRPr="000930B6">
        <w:rPr>
          <w:sz w:val="24"/>
          <w:szCs w:val="24"/>
        </w:rPr>
        <w:t xml:space="preserve"> REQ-CMI</w:t>
      </w:r>
      <w:r w:rsidRPr="000930B6">
        <w:rPr>
          <w:sz w:val="24"/>
          <w:szCs w:val="24"/>
        </w:rPr>
        <w:t>.</w:t>
      </w:r>
      <w:r w:rsidR="00DF33AA" w:rsidRPr="000930B6">
        <w:rPr>
          <w:sz w:val="24"/>
          <w:szCs w:val="24"/>
        </w:rPr>
        <w:t xml:space="preserve"> Ce jugement est un des éléments du processus d’assurance qualité préc</w:t>
      </w:r>
      <w:r w:rsidR="000246F0" w:rsidRPr="000930B6">
        <w:rPr>
          <w:sz w:val="24"/>
          <w:szCs w:val="24"/>
        </w:rPr>
        <w:t>onisé</w:t>
      </w:r>
      <w:r w:rsidR="00FF4251" w:rsidRPr="000930B6">
        <w:rPr>
          <w:sz w:val="24"/>
          <w:szCs w:val="24"/>
        </w:rPr>
        <w:t>s</w:t>
      </w:r>
      <w:r w:rsidR="000246F0" w:rsidRPr="000930B6">
        <w:rPr>
          <w:sz w:val="24"/>
          <w:szCs w:val="24"/>
        </w:rPr>
        <w:t xml:space="preserve"> par ce référentiel</w:t>
      </w:r>
      <w:r w:rsidR="00DF33AA" w:rsidRPr="000930B6">
        <w:rPr>
          <w:sz w:val="24"/>
          <w:szCs w:val="24"/>
        </w:rPr>
        <w:t>.</w:t>
      </w:r>
    </w:p>
    <w:p w14:paraId="45A8AE5A" w14:textId="163AE5F5" w:rsidR="005F6E9C" w:rsidRDefault="000246F0" w:rsidP="00326761">
      <w:pPr>
        <w:tabs>
          <w:tab w:val="left" w:pos="709"/>
        </w:tabs>
        <w:spacing w:before="180" w:after="0"/>
        <w:ind w:right="159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0547F3">
        <w:rPr>
          <w:sz w:val="24"/>
          <w:szCs w:val="24"/>
        </w:rPr>
        <w:t>e processus d</w:t>
      </w:r>
      <w:r w:rsidR="003F2E75">
        <w:rPr>
          <w:sz w:val="24"/>
          <w:szCs w:val="24"/>
        </w:rPr>
        <w:t xml:space="preserve">’assurance qualité </w:t>
      </w:r>
      <w:r w:rsidR="00DF33AA">
        <w:rPr>
          <w:sz w:val="24"/>
          <w:szCs w:val="24"/>
        </w:rPr>
        <w:t xml:space="preserve">d’un CMI </w:t>
      </w:r>
      <w:r w:rsidR="000547F3">
        <w:rPr>
          <w:sz w:val="24"/>
          <w:szCs w:val="24"/>
        </w:rPr>
        <w:t>est conforme aux procédures d’assurance qualité promues au niveau européen (voir plus haut)</w:t>
      </w:r>
      <w:r>
        <w:rPr>
          <w:sz w:val="24"/>
          <w:szCs w:val="24"/>
        </w:rPr>
        <w:t xml:space="preserve">. </w:t>
      </w:r>
      <w:r w:rsidR="000547F3">
        <w:rPr>
          <w:sz w:val="24"/>
          <w:szCs w:val="24"/>
        </w:rPr>
        <w:t>Il</w:t>
      </w:r>
      <w:r>
        <w:rPr>
          <w:sz w:val="24"/>
          <w:szCs w:val="24"/>
        </w:rPr>
        <w:t xml:space="preserve"> consiste</w:t>
      </w:r>
      <w:r w:rsidR="000547F3">
        <w:rPr>
          <w:sz w:val="24"/>
          <w:szCs w:val="24"/>
        </w:rPr>
        <w:t xml:space="preserve"> en</w:t>
      </w:r>
      <w:r w:rsidR="005F6E9C">
        <w:rPr>
          <w:sz w:val="24"/>
          <w:szCs w:val="24"/>
        </w:rPr>
        <w:t xml:space="preserve"> deux cycles imbriqués. </w:t>
      </w:r>
      <w:r w:rsidR="00B12397">
        <w:rPr>
          <w:sz w:val="24"/>
          <w:szCs w:val="24"/>
        </w:rPr>
        <w:t>Le cycle interne</w:t>
      </w:r>
      <w:r w:rsidR="005F6E9C">
        <w:rPr>
          <w:sz w:val="24"/>
          <w:szCs w:val="24"/>
        </w:rPr>
        <w:t xml:space="preserve"> repose sur un</w:t>
      </w:r>
      <w:r w:rsidR="00880CA0">
        <w:rPr>
          <w:sz w:val="24"/>
          <w:szCs w:val="24"/>
        </w:rPr>
        <w:t>e autoévaluation faite d’un diagnostic</w:t>
      </w:r>
      <w:r w:rsidR="005F6E9C">
        <w:rPr>
          <w:sz w:val="24"/>
          <w:szCs w:val="24"/>
        </w:rPr>
        <w:t xml:space="preserve"> de la qualité </w:t>
      </w:r>
      <w:r w:rsidR="00295D67">
        <w:rPr>
          <w:sz w:val="24"/>
          <w:szCs w:val="24"/>
        </w:rPr>
        <w:t xml:space="preserve">qui est </w:t>
      </w:r>
      <w:r w:rsidR="00DF33AA">
        <w:rPr>
          <w:sz w:val="24"/>
          <w:szCs w:val="24"/>
        </w:rPr>
        <w:t xml:space="preserve">effectué par l’institution dont dépend le CMI </w:t>
      </w:r>
      <w:r w:rsidR="005F6E9C">
        <w:rPr>
          <w:sz w:val="24"/>
          <w:szCs w:val="24"/>
        </w:rPr>
        <w:t xml:space="preserve">ainsi que </w:t>
      </w:r>
      <w:r w:rsidR="00880CA0">
        <w:rPr>
          <w:sz w:val="24"/>
          <w:szCs w:val="24"/>
        </w:rPr>
        <w:t>d</w:t>
      </w:r>
      <w:r w:rsidR="005F6E9C">
        <w:rPr>
          <w:sz w:val="24"/>
          <w:szCs w:val="24"/>
        </w:rPr>
        <w:t>es me</w:t>
      </w:r>
      <w:r w:rsidR="00DF33AA">
        <w:rPr>
          <w:sz w:val="24"/>
          <w:szCs w:val="24"/>
        </w:rPr>
        <w:t xml:space="preserve">sures décidées en interne pour </w:t>
      </w:r>
      <w:r w:rsidR="005F6E9C">
        <w:rPr>
          <w:sz w:val="24"/>
          <w:szCs w:val="24"/>
        </w:rPr>
        <w:t>améli</w:t>
      </w:r>
      <w:r w:rsidR="00DF33AA">
        <w:rPr>
          <w:sz w:val="24"/>
          <w:szCs w:val="24"/>
        </w:rPr>
        <w:t>orer</w:t>
      </w:r>
      <w:r w:rsidR="00FF4251">
        <w:rPr>
          <w:sz w:val="24"/>
          <w:szCs w:val="24"/>
        </w:rPr>
        <w:t xml:space="preserve"> ou maintenir</w:t>
      </w:r>
      <w:r w:rsidR="00DF33AA">
        <w:rPr>
          <w:sz w:val="24"/>
          <w:szCs w:val="24"/>
        </w:rPr>
        <w:t xml:space="preserve"> cette qualité ; une nouvelle autoévaluation quelques temps plus tard permet de constater l’impact des mesures et de les adapter. </w:t>
      </w:r>
      <w:r w:rsidR="00B97685">
        <w:rPr>
          <w:sz w:val="24"/>
          <w:szCs w:val="24"/>
        </w:rPr>
        <w:t>Si ce travail est mené en vue d’une ré-accréditation ou accréditation l’</w:t>
      </w:r>
      <w:r w:rsidR="00DF33AA">
        <w:rPr>
          <w:sz w:val="24"/>
          <w:szCs w:val="24"/>
        </w:rPr>
        <w:t xml:space="preserve">ensemble </w:t>
      </w:r>
      <w:r w:rsidR="00880CA0">
        <w:rPr>
          <w:sz w:val="24"/>
          <w:szCs w:val="24"/>
        </w:rPr>
        <w:t>diagnostic</w:t>
      </w:r>
      <w:r w:rsidR="00DF33AA">
        <w:rPr>
          <w:sz w:val="24"/>
          <w:szCs w:val="24"/>
        </w:rPr>
        <w:t>-mesures correctives</w:t>
      </w:r>
      <w:r w:rsidR="00FF4251">
        <w:rPr>
          <w:sz w:val="24"/>
          <w:szCs w:val="24"/>
        </w:rPr>
        <w:t>/préventives</w:t>
      </w:r>
      <w:r w:rsidR="00B97685">
        <w:rPr>
          <w:sz w:val="24"/>
          <w:szCs w:val="24"/>
        </w:rPr>
        <w:t xml:space="preserve"> est regroupé dans</w:t>
      </w:r>
      <w:r w:rsidR="005F6E9C">
        <w:rPr>
          <w:sz w:val="24"/>
          <w:szCs w:val="24"/>
        </w:rPr>
        <w:t xml:space="preserve"> un rapport </w:t>
      </w:r>
      <w:r w:rsidR="00B97685">
        <w:rPr>
          <w:sz w:val="24"/>
          <w:szCs w:val="24"/>
        </w:rPr>
        <w:t>destiné à l’</w:t>
      </w:r>
      <w:r w:rsidR="005F6E9C">
        <w:rPr>
          <w:sz w:val="24"/>
          <w:szCs w:val="24"/>
        </w:rPr>
        <w:t>évaluation externe</w:t>
      </w:r>
      <w:r w:rsidR="00B97685">
        <w:rPr>
          <w:sz w:val="24"/>
          <w:szCs w:val="24"/>
        </w:rPr>
        <w:t>.</w:t>
      </w:r>
      <w:r w:rsidR="00FF4251">
        <w:rPr>
          <w:sz w:val="24"/>
          <w:szCs w:val="24"/>
        </w:rPr>
        <w:t xml:space="preserve"> L</w:t>
      </w:r>
      <w:r w:rsidR="005F6E9C">
        <w:rPr>
          <w:sz w:val="24"/>
          <w:szCs w:val="24"/>
        </w:rPr>
        <w:t>es résultats, quand ils sont positifs, prennent la forme de recommandations reprises par le processus d’assurance qualité interne.</w:t>
      </w:r>
    </w:p>
    <w:p w14:paraId="238D8627" w14:textId="7CE90372" w:rsidR="00196FD9" w:rsidRDefault="00B97685" w:rsidP="00326761">
      <w:pPr>
        <w:tabs>
          <w:tab w:val="left" w:pos="709"/>
        </w:tabs>
        <w:spacing w:before="180" w:after="0"/>
        <w:ind w:right="159"/>
        <w:jc w:val="both"/>
        <w:rPr>
          <w:sz w:val="24"/>
          <w:szCs w:val="24"/>
        </w:rPr>
      </w:pPr>
      <w:r w:rsidRPr="00B97685">
        <w:rPr>
          <w:sz w:val="24"/>
          <w:szCs w:val="24"/>
        </w:rPr>
        <w:t>La démarche d’autoévaluation</w:t>
      </w:r>
      <w:r>
        <w:rPr>
          <w:sz w:val="24"/>
          <w:szCs w:val="24"/>
        </w:rPr>
        <w:t xml:space="preserve"> a le rôle fondamental</w:t>
      </w:r>
      <w:r w:rsidRPr="00B97685">
        <w:rPr>
          <w:sz w:val="24"/>
          <w:szCs w:val="24"/>
        </w:rPr>
        <w:t xml:space="preserve"> de réunir les acteu</w:t>
      </w:r>
      <w:r w:rsidR="004E7249">
        <w:rPr>
          <w:sz w:val="24"/>
          <w:szCs w:val="24"/>
        </w:rPr>
        <w:t xml:space="preserve">rs de terrain et autres parties </w:t>
      </w:r>
      <w:r w:rsidRPr="00B97685">
        <w:rPr>
          <w:sz w:val="24"/>
          <w:szCs w:val="24"/>
        </w:rPr>
        <w:t>prenantes (département d’enseignement, laboratoire, composante, partenaires socio-économiques, étudiants, etc.)</w:t>
      </w:r>
      <w:r>
        <w:rPr>
          <w:sz w:val="24"/>
          <w:szCs w:val="24"/>
        </w:rPr>
        <w:t>.</w:t>
      </w:r>
    </w:p>
    <w:p w14:paraId="5ADB839D" w14:textId="77777777" w:rsidR="0097152E" w:rsidRDefault="0097152E" w:rsidP="00326761">
      <w:pPr>
        <w:tabs>
          <w:tab w:val="left" w:pos="709"/>
        </w:tabs>
        <w:spacing w:before="180" w:after="0"/>
        <w:ind w:right="159"/>
        <w:jc w:val="both"/>
        <w:rPr>
          <w:sz w:val="24"/>
          <w:szCs w:val="24"/>
        </w:rPr>
      </w:pPr>
    </w:p>
    <w:p w14:paraId="5B8FD29C" w14:textId="0BBE1277" w:rsidR="00140048" w:rsidRPr="001D7A8D" w:rsidRDefault="00481117" w:rsidP="001D7A8D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Autoévaluation</w:t>
      </w:r>
      <w:r w:rsidR="00D72FA8">
        <w:rPr>
          <w:sz w:val="24"/>
          <w:szCs w:val="24"/>
        </w:rPr>
        <w:t xml:space="preserve"> </w:t>
      </w:r>
      <w:r w:rsidR="003F2E75">
        <w:rPr>
          <w:sz w:val="24"/>
          <w:szCs w:val="24"/>
        </w:rPr>
        <w:t xml:space="preserve">de la qualité </w:t>
      </w:r>
      <w:r w:rsidR="00D72FA8">
        <w:rPr>
          <w:sz w:val="24"/>
          <w:szCs w:val="24"/>
        </w:rPr>
        <w:t>et diagnostic attendu</w:t>
      </w:r>
    </w:p>
    <w:p w14:paraId="7ED993FE" w14:textId="2880575C" w:rsidR="009C20E5" w:rsidRDefault="000547F3" w:rsidP="000547F3">
      <w:pPr>
        <w:jc w:val="both"/>
        <w:rPr>
          <w:sz w:val="24"/>
          <w:szCs w:val="24"/>
        </w:rPr>
      </w:pPr>
      <w:r w:rsidRPr="004E7249">
        <w:rPr>
          <w:sz w:val="24"/>
          <w:szCs w:val="24"/>
        </w:rPr>
        <w:t>Le cœur de</w:t>
      </w:r>
      <w:r w:rsidR="00B327DF" w:rsidRPr="004E7249">
        <w:rPr>
          <w:sz w:val="24"/>
          <w:szCs w:val="24"/>
        </w:rPr>
        <w:t xml:space="preserve"> cette </w:t>
      </w:r>
      <w:r w:rsidR="00481117" w:rsidRPr="004E7249">
        <w:rPr>
          <w:sz w:val="24"/>
          <w:szCs w:val="24"/>
        </w:rPr>
        <w:t>activité</w:t>
      </w:r>
      <w:r w:rsidRPr="004E7249">
        <w:rPr>
          <w:sz w:val="24"/>
          <w:szCs w:val="24"/>
        </w:rPr>
        <w:t xml:space="preserve"> consiste à prendre</w:t>
      </w:r>
      <w:r w:rsidR="00A22685" w:rsidRPr="004E7249">
        <w:rPr>
          <w:sz w:val="24"/>
          <w:szCs w:val="24"/>
        </w:rPr>
        <w:t xml:space="preserve"> en compte </w:t>
      </w:r>
      <w:r w:rsidR="00B327DF" w:rsidRPr="004E7249">
        <w:rPr>
          <w:sz w:val="24"/>
          <w:szCs w:val="24"/>
        </w:rPr>
        <w:t>chaque</w:t>
      </w:r>
      <w:r w:rsidR="00A22685" w:rsidRPr="004E7249">
        <w:rPr>
          <w:sz w:val="24"/>
          <w:szCs w:val="24"/>
        </w:rPr>
        <w:t xml:space="preserve"> critère, </w:t>
      </w:r>
      <w:r w:rsidRPr="004E7249">
        <w:rPr>
          <w:sz w:val="24"/>
          <w:szCs w:val="24"/>
        </w:rPr>
        <w:t xml:space="preserve">et </w:t>
      </w:r>
      <w:r w:rsidR="00B327DF" w:rsidRPr="004E7249">
        <w:rPr>
          <w:sz w:val="24"/>
          <w:szCs w:val="24"/>
        </w:rPr>
        <w:t xml:space="preserve">à </w:t>
      </w:r>
      <w:r w:rsidR="00140048" w:rsidRPr="004E7249">
        <w:rPr>
          <w:sz w:val="24"/>
          <w:szCs w:val="24"/>
        </w:rPr>
        <w:t xml:space="preserve">répondre aux questions </w:t>
      </w:r>
      <w:r w:rsidR="00B327DF" w:rsidRPr="004E7249">
        <w:rPr>
          <w:sz w:val="24"/>
          <w:szCs w:val="24"/>
        </w:rPr>
        <w:t xml:space="preserve">associées </w:t>
      </w:r>
      <w:r w:rsidRPr="004E7249">
        <w:rPr>
          <w:sz w:val="24"/>
          <w:szCs w:val="24"/>
        </w:rPr>
        <w:t>à ce critère qui</w:t>
      </w:r>
      <w:r w:rsidR="009C20E5" w:rsidRPr="004E7249">
        <w:rPr>
          <w:sz w:val="24"/>
          <w:szCs w:val="24"/>
        </w:rPr>
        <w:t xml:space="preserve"> </w:t>
      </w:r>
      <w:r w:rsidRPr="004E7249">
        <w:rPr>
          <w:sz w:val="24"/>
          <w:szCs w:val="24"/>
        </w:rPr>
        <w:t>figure</w:t>
      </w:r>
      <w:r w:rsidR="00B327DF" w:rsidRPr="004E7249">
        <w:rPr>
          <w:sz w:val="24"/>
          <w:szCs w:val="24"/>
        </w:rPr>
        <w:t xml:space="preserve">nt </w:t>
      </w:r>
      <w:r w:rsidR="00140048" w:rsidRPr="004E7249">
        <w:rPr>
          <w:sz w:val="24"/>
          <w:szCs w:val="24"/>
        </w:rPr>
        <w:t>d</w:t>
      </w:r>
      <w:r w:rsidR="00B327DF" w:rsidRPr="004E7249">
        <w:rPr>
          <w:sz w:val="24"/>
          <w:szCs w:val="24"/>
        </w:rPr>
        <w:t>ans le</w:t>
      </w:r>
      <w:r w:rsidR="00140048" w:rsidRPr="004E7249">
        <w:rPr>
          <w:sz w:val="24"/>
          <w:szCs w:val="24"/>
        </w:rPr>
        <w:t xml:space="preserve"> référentiel </w:t>
      </w:r>
      <w:r w:rsidR="009C20E5" w:rsidRPr="004E7249">
        <w:rPr>
          <w:sz w:val="24"/>
          <w:szCs w:val="24"/>
        </w:rPr>
        <w:t xml:space="preserve">REQ-CMI </w:t>
      </w:r>
      <w:r w:rsidR="00140048" w:rsidRPr="004E7249">
        <w:rPr>
          <w:sz w:val="24"/>
          <w:szCs w:val="24"/>
        </w:rPr>
        <w:t>(cf. Annexe 2</w:t>
      </w:r>
      <w:r w:rsidR="00BA1C73" w:rsidRPr="004E7249">
        <w:rPr>
          <w:sz w:val="24"/>
          <w:szCs w:val="24"/>
        </w:rPr>
        <w:t>)</w:t>
      </w:r>
      <w:r w:rsidR="009C20E5" w:rsidRPr="004E7249">
        <w:rPr>
          <w:sz w:val="24"/>
          <w:szCs w:val="24"/>
        </w:rPr>
        <w:t>. Ce dernier peut</w:t>
      </w:r>
      <w:r w:rsidR="00BA1C73" w:rsidRPr="004E7249">
        <w:rPr>
          <w:sz w:val="24"/>
          <w:szCs w:val="24"/>
        </w:rPr>
        <w:t xml:space="preserve"> éventuellement </w:t>
      </w:r>
      <w:r w:rsidR="009C20E5" w:rsidRPr="004E7249">
        <w:rPr>
          <w:sz w:val="24"/>
          <w:szCs w:val="24"/>
        </w:rPr>
        <w:t xml:space="preserve">être </w:t>
      </w:r>
      <w:r w:rsidR="00BA1C73" w:rsidRPr="004E7249">
        <w:rPr>
          <w:sz w:val="24"/>
          <w:szCs w:val="24"/>
        </w:rPr>
        <w:t>enrichi</w:t>
      </w:r>
      <w:r w:rsidR="00140048" w:rsidRPr="004E7249">
        <w:rPr>
          <w:sz w:val="24"/>
          <w:szCs w:val="24"/>
        </w:rPr>
        <w:t xml:space="preserve"> de questions spécifiques conçues par les responsables du cursus.</w:t>
      </w:r>
    </w:p>
    <w:p w14:paraId="1CBDF380" w14:textId="45462AEC" w:rsidR="005669CA" w:rsidRDefault="009C20E5" w:rsidP="00076B44">
      <w:pPr>
        <w:jc w:val="both"/>
        <w:rPr>
          <w:sz w:val="24"/>
          <w:szCs w:val="24"/>
        </w:rPr>
      </w:pPr>
      <w:r w:rsidRPr="003A6E4A">
        <w:rPr>
          <w:sz w:val="24"/>
          <w:szCs w:val="24"/>
        </w:rPr>
        <w:lastRenderedPageBreak/>
        <w:t>Toutes l</w:t>
      </w:r>
      <w:r w:rsidR="00140048" w:rsidRPr="003A6E4A">
        <w:rPr>
          <w:sz w:val="24"/>
          <w:szCs w:val="24"/>
        </w:rPr>
        <w:t>es réponses apportées doivent</w:t>
      </w:r>
      <w:r w:rsidR="00BA1C73" w:rsidRPr="003A6E4A">
        <w:rPr>
          <w:sz w:val="24"/>
          <w:szCs w:val="24"/>
        </w:rPr>
        <w:t xml:space="preserve"> être</w:t>
      </w:r>
      <w:r w:rsidR="00A22685" w:rsidRPr="003A6E4A">
        <w:rPr>
          <w:sz w:val="24"/>
          <w:szCs w:val="24"/>
        </w:rPr>
        <w:t xml:space="preserve"> motivée</w:t>
      </w:r>
      <w:r w:rsidR="00BA1C73" w:rsidRPr="003A6E4A">
        <w:rPr>
          <w:sz w:val="24"/>
          <w:szCs w:val="24"/>
        </w:rPr>
        <w:t>s</w:t>
      </w:r>
      <w:r w:rsidR="00A22685" w:rsidRPr="003A6E4A">
        <w:rPr>
          <w:sz w:val="24"/>
          <w:szCs w:val="24"/>
        </w:rPr>
        <w:t xml:space="preserve"> </w:t>
      </w:r>
      <w:r w:rsidR="00BA1C73" w:rsidRPr="003A6E4A">
        <w:rPr>
          <w:sz w:val="24"/>
          <w:szCs w:val="24"/>
        </w:rPr>
        <w:t>à l’</w:t>
      </w:r>
      <w:r w:rsidR="00E46247" w:rsidRPr="003A6E4A">
        <w:rPr>
          <w:sz w:val="24"/>
          <w:szCs w:val="24"/>
        </w:rPr>
        <w:t>aide d’</w:t>
      </w:r>
      <w:r w:rsidRPr="003A6E4A">
        <w:rPr>
          <w:sz w:val="24"/>
          <w:szCs w:val="24"/>
        </w:rPr>
        <w:t xml:space="preserve">informations factuelles vérifiables que l’on appelle </w:t>
      </w:r>
      <w:r w:rsidR="0068265A" w:rsidRPr="003A6E4A">
        <w:rPr>
          <w:sz w:val="24"/>
          <w:szCs w:val="24"/>
        </w:rPr>
        <w:t xml:space="preserve">les </w:t>
      </w:r>
      <w:r w:rsidR="00BA1C73" w:rsidRPr="003A6E4A">
        <w:rPr>
          <w:sz w:val="24"/>
          <w:szCs w:val="24"/>
        </w:rPr>
        <w:t>« éléments probants ».</w:t>
      </w:r>
      <w:r w:rsidR="005669CA" w:rsidRPr="003A6E4A">
        <w:rPr>
          <w:sz w:val="24"/>
          <w:szCs w:val="24"/>
        </w:rPr>
        <w:t xml:space="preserve"> De</w:t>
      </w:r>
      <w:r w:rsidRPr="003A6E4A">
        <w:rPr>
          <w:sz w:val="24"/>
          <w:szCs w:val="24"/>
        </w:rPr>
        <w:t xml:space="preserve"> nombreux</w:t>
      </w:r>
      <w:r w:rsidR="005669CA" w:rsidRPr="003A6E4A">
        <w:rPr>
          <w:sz w:val="24"/>
          <w:szCs w:val="24"/>
        </w:rPr>
        <w:t xml:space="preserve"> exemples d’éléments probants sont fournis dans l’Annexe</w:t>
      </w:r>
      <w:r w:rsidR="003A6E4A" w:rsidRPr="003A6E4A">
        <w:rPr>
          <w:sz w:val="24"/>
          <w:szCs w:val="24"/>
        </w:rPr>
        <w:t xml:space="preserve"> </w:t>
      </w:r>
      <w:r w:rsidR="005669CA" w:rsidRPr="003A6E4A">
        <w:rPr>
          <w:sz w:val="24"/>
          <w:szCs w:val="24"/>
        </w:rPr>
        <w:t>2.</w:t>
      </w:r>
    </w:p>
    <w:p w14:paraId="6FDE6281" w14:textId="4CD32A1C" w:rsidR="00DD456E" w:rsidRDefault="00B36802" w:rsidP="00076B44">
      <w:pPr>
        <w:jc w:val="both"/>
        <w:rPr>
          <w:sz w:val="24"/>
          <w:szCs w:val="24"/>
        </w:rPr>
      </w:pPr>
      <w:r w:rsidRPr="00B36802">
        <w:rPr>
          <w:sz w:val="24"/>
          <w:szCs w:val="24"/>
        </w:rPr>
        <w:t>Dans une situation parfaite, chaque affirmation contenue dans chaque critère du référentiel d’évaluation est</w:t>
      </w:r>
      <w:r w:rsidR="007D57A6">
        <w:rPr>
          <w:sz w:val="24"/>
          <w:szCs w:val="24"/>
        </w:rPr>
        <w:t xml:space="preserve"> vraie</w:t>
      </w:r>
      <w:r w:rsidRPr="00B36802">
        <w:rPr>
          <w:sz w:val="24"/>
          <w:szCs w:val="24"/>
        </w:rPr>
        <w:t xml:space="preserve"> et il est possible de le démontrer par des éléments probants. Dans la réalité, certaines affirmations seront vraies, d’autres </w:t>
      </w:r>
      <w:r w:rsidR="00DD456E">
        <w:rPr>
          <w:sz w:val="24"/>
          <w:szCs w:val="24"/>
        </w:rPr>
        <w:t xml:space="preserve">le </w:t>
      </w:r>
      <w:r w:rsidRPr="00B36802">
        <w:rPr>
          <w:sz w:val="24"/>
          <w:szCs w:val="24"/>
        </w:rPr>
        <w:t>seront partiellement et d’autres enfin seront fausses, ce qui sera</w:t>
      </w:r>
      <w:r w:rsidR="007D57A6">
        <w:rPr>
          <w:sz w:val="24"/>
          <w:szCs w:val="24"/>
        </w:rPr>
        <w:t xml:space="preserve"> étayé </w:t>
      </w:r>
      <w:r w:rsidRPr="00B36802">
        <w:rPr>
          <w:sz w:val="24"/>
          <w:szCs w:val="24"/>
        </w:rPr>
        <w:t xml:space="preserve">à chaque fois par des éléments probants. </w:t>
      </w:r>
    </w:p>
    <w:p w14:paraId="165ECA7B" w14:textId="3F74160D" w:rsidR="00D57F5E" w:rsidRDefault="00B36802" w:rsidP="00076B44">
      <w:pPr>
        <w:jc w:val="both"/>
        <w:rPr>
          <w:sz w:val="24"/>
          <w:szCs w:val="24"/>
        </w:rPr>
      </w:pPr>
      <w:r w:rsidRPr="00B36802">
        <w:rPr>
          <w:sz w:val="24"/>
          <w:szCs w:val="24"/>
        </w:rPr>
        <w:t>Sur</w:t>
      </w:r>
      <w:r w:rsidR="000C2C85">
        <w:rPr>
          <w:sz w:val="24"/>
          <w:szCs w:val="24"/>
        </w:rPr>
        <w:t xml:space="preserve"> la</w:t>
      </w:r>
      <w:r w:rsidRPr="00B36802">
        <w:rPr>
          <w:sz w:val="24"/>
          <w:szCs w:val="24"/>
        </w:rPr>
        <w:t xml:space="preserve"> base des réponses aux questions </w:t>
      </w:r>
      <w:r>
        <w:rPr>
          <w:sz w:val="24"/>
          <w:szCs w:val="24"/>
        </w:rPr>
        <w:t>un diagnostic est formulé</w:t>
      </w:r>
      <w:r w:rsidRPr="00B36802">
        <w:rPr>
          <w:sz w:val="24"/>
          <w:szCs w:val="24"/>
        </w:rPr>
        <w:t xml:space="preserve"> pour chaque critère en appliquant le tableau suivant 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055"/>
        <w:gridCol w:w="6899"/>
      </w:tblGrid>
      <w:tr w:rsidR="000C582F" w14:paraId="2A6D1A05" w14:textId="77777777" w:rsidTr="000C582F">
        <w:trPr>
          <w:cantSplit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379FA" w14:textId="77777777" w:rsidR="000C582F" w:rsidRPr="00300AE2" w:rsidRDefault="000C58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00AE2">
              <w:rPr>
                <w:b/>
                <w:sz w:val="20"/>
                <w:szCs w:val="20"/>
              </w:rPr>
              <w:t>Niveau</w:t>
            </w:r>
            <w:r w:rsidRPr="00300AE2">
              <w:rPr>
                <w:b/>
                <w:sz w:val="20"/>
                <w:szCs w:val="20"/>
              </w:rPr>
              <w:br/>
              <w:t>atteint pour</w:t>
            </w:r>
            <w:r w:rsidRPr="00300AE2">
              <w:rPr>
                <w:b/>
                <w:sz w:val="20"/>
                <w:szCs w:val="20"/>
              </w:rPr>
              <w:br/>
              <w:t>le critère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B30D5" w14:textId="77777777" w:rsidR="000C582F" w:rsidRPr="00300AE2" w:rsidRDefault="000C582F">
            <w:pPr>
              <w:spacing w:before="240" w:after="60"/>
              <w:jc w:val="center"/>
              <w:rPr>
                <w:b/>
                <w:sz w:val="20"/>
                <w:szCs w:val="20"/>
              </w:rPr>
            </w:pPr>
            <w:r w:rsidRPr="00300AE2">
              <w:rPr>
                <w:b/>
                <w:sz w:val="20"/>
                <w:szCs w:val="20"/>
              </w:rPr>
              <w:t>Caractéristiques</w:t>
            </w:r>
          </w:p>
        </w:tc>
      </w:tr>
      <w:tr w:rsidR="000C582F" w14:paraId="4BD54C17" w14:textId="77777777" w:rsidTr="000C582F">
        <w:trPr>
          <w:cantSplit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05F6" w14:textId="0AF6F7E5" w:rsidR="000C582F" w:rsidRPr="00300AE2" w:rsidRDefault="00E14E2A">
            <w:pPr>
              <w:spacing w:before="1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ATTEINT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8788" w14:textId="2F9CEEB7" w:rsidR="000C582F" w:rsidRPr="00300AE2" w:rsidRDefault="000C582F" w:rsidP="00E14E2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00AE2">
              <w:rPr>
                <w:sz w:val="20"/>
                <w:szCs w:val="20"/>
              </w:rPr>
              <w:t xml:space="preserve">Soit il n’y a pas (assez) d’éléments probants pour pouvoir situer le programme pour ce critère, soit les éléments probants disponibles montrent que le critère n’est pas du tout </w:t>
            </w:r>
            <w:r w:rsidR="00E14E2A">
              <w:rPr>
                <w:sz w:val="20"/>
                <w:szCs w:val="20"/>
              </w:rPr>
              <w:t>atteint</w:t>
            </w:r>
            <w:r w:rsidRPr="00300AE2">
              <w:rPr>
                <w:sz w:val="20"/>
                <w:szCs w:val="20"/>
              </w:rPr>
              <w:t>.</w:t>
            </w:r>
          </w:p>
        </w:tc>
      </w:tr>
      <w:tr w:rsidR="009D53C9" w14:paraId="4B6642A5" w14:textId="77777777" w:rsidTr="000C582F">
        <w:trPr>
          <w:cantSplit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E678" w14:textId="42B24B78" w:rsidR="009D53C9" w:rsidRPr="00300AE2" w:rsidRDefault="009D53C9" w:rsidP="00E14E2A">
            <w:pPr>
              <w:spacing w:before="180" w:after="60"/>
              <w:jc w:val="center"/>
              <w:rPr>
                <w:sz w:val="20"/>
                <w:szCs w:val="20"/>
              </w:rPr>
            </w:pPr>
            <w:r w:rsidRPr="00300AE2">
              <w:rPr>
                <w:sz w:val="20"/>
                <w:szCs w:val="20"/>
              </w:rPr>
              <w:t xml:space="preserve">PARTIELLEMENT </w:t>
            </w:r>
            <w:r w:rsidR="00E14E2A">
              <w:rPr>
                <w:sz w:val="20"/>
                <w:szCs w:val="20"/>
              </w:rPr>
              <w:t>ATTEINT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7AD0" w14:textId="3C566AD2" w:rsidR="009D53C9" w:rsidRPr="00300AE2" w:rsidRDefault="009D53C9" w:rsidP="00E14E2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00AE2">
              <w:rPr>
                <w:sz w:val="20"/>
                <w:szCs w:val="20"/>
              </w:rPr>
              <w:t xml:space="preserve">Les éléments probants disponibles montrent que le critère est partiellement </w:t>
            </w:r>
            <w:r w:rsidR="00E14E2A">
              <w:rPr>
                <w:sz w:val="20"/>
                <w:szCs w:val="20"/>
              </w:rPr>
              <w:t xml:space="preserve">atteint </w:t>
            </w:r>
            <w:r w:rsidRPr="00300AE2">
              <w:rPr>
                <w:sz w:val="20"/>
                <w:szCs w:val="20"/>
              </w:rPr>
              <w:t xml:space="preserve">et qu’il y a encore un certain effort à faire pour qu’il soit complètement </w:t>
            </w:r>
            <w:r w:rsidR="00E14E2A">
              <w:rPr>
                <w:sz w:val="20"/>
                <w:szCs w:val="20"/>
              </w:rPr>
              <w:t>atteint</w:t>
            </w:r>
            <w:r w:rsidRPr="00300AE2">
              <w:rPr>
                <w:sz w:val="20"/>
                <w:szCs w:val="20"/>
              </w:rPr>
              <w:t>.</w:t>
            </w:r>
          </w:p>
        </w:tc>
      </w:tr>
      <w:tr w:rsidR="009D53C9" w14:paraId="0FC7A073" w14:textId="77777777" w:rsidTr="000C582F">
        <w:trPr>
          <w:cantSplit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9FEA" w14:textId="4E8FDD63" w:rsidR="009D53C9" w:rsidRPr="00300AE2" w:rsidRDefault="00E14E2A">
            <w:pPr>
              <w:spacing w:before="1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ATTEINT</w:t>
            </w:r>
          </w:p>
        </w:tc>
        <w:tc>
          <w:tcPr>
            <w:tcW w:w="7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A407" w14:textId="5885862E" w:rsidR="009D53C9" w:rsidRPr="00300AE2" w:rsidRDefault="009D53C9" w:rsidP="00E14E2A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00AE2">
              <w:rPr>
                <w:sz w:val="20"/>
                <w:szCs w:val="20"/>
              </w:rPr>
              <w:t xml:space="preserve">Les éléments probants disponibles montrent que le critère est parfaitement </w:t>
            </w:r>
            <w:r w:rsidR="00E14E2A">
              <w:rPr>
                <w:sz w:val="20"/>
                <w:szCs w:val="20"/>
              </w:rPr>
              <w:t>atteint</w:t>
            </w:r>
            <w:r w:rsidRPr="00300AE2">
              <w:rPr>
                <w:sz w:val="20"/>
                <w:szCs w:val="20"/>
              </w:rPr>
              <w:t>.</w:t>
            </w:r>
          </w:p>
        </w:tc>
      </w:tr>
    </w:tbl>
    <w:p w14:paraId="1F0E9A1A" w14:textId="77777777" w:rsidR="00076C66" w:rsidRPr="009C33C6" w:rsidRDefault="00076C66" w:rsidP="00076B44">
      <w:pPr>
        <w:jc w:val="both"/>
        <w:rPr>
          <w:sz w:val="24"/>
          <w:szCs w:val="24"/>
        </w:rPr>
      </w:pPr>
    </w:p>
    <w:p w14:paraId="01F94B66" w14:textId="5DC3B22A" w:rsidR="00BD75D3" w:rsidRDefault="00BD75D3" w:rsidP="00076B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référentiel REQ-CMI suggère un niveau d’exigence minimal en présentant le diagnostic attendu (cf. Annexe 3). </w:t>
      </w:r>
      <w:r w:rsidR="009C20E5">
        <w:rPr>
          <w:sz w:val="24"/>
          <w:szCs w:val="24"/>
        </w:rPr>
        <w:t>Si ce niveau est atteint, le cursus est réputé être conforme à ce référentiel.</w:t>
      </w:r>
    </w:p>
    <w:p w14:paraId="16DE79BC" w14:textId="77777777" w:rsidR="00196FD9" w:rsidRDefault="00196FD9" w:rsidP="00196F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contribuant à rendre conforme ce cursus au niveau d’exigence attendu, l’établissement remplit sa responsabilité première d’amélioration continue de la qualité des formations. </w:t>
      </w:r>
    </w:p>
    <w:p w14:paraId="3796CFD9" w14:textId="77777777" w:rsidR="00196FD9" w:rsidRDefault="00196FD9" w:rsidP="00076B44">
      <w:pPr>
        <w:jc w:val="both"/>
        <w:rPr>
          <w:sz w:val="24"/>
          <w:szCs w:val="24"/>
        </w:rPr>
      </w:pPr>
    </w:p>
    <w:p w14:paraId="3473DC68" w14:textId="52A28574" w:rsidR="00481117" w:rsidRPr="009C20E5" w:rsidRDefault="00481117" w:rsidP="009C20E5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 w:rsidRPr="009C20E5">
        <w:rPr>
          <w:sz w:val="24"/>
          <w:szCs w:val="24"/>
        </w:rPr>
        <w:t>Amélioration de la qualité : plan d’action</w:t>
      </w:r>
      <w:r w:rsidR="00D96AB6">
        <w:rPr>
          <w:sz w:val="24"/>
          <w:szCs w:val="24"/>
        </w:rPr>
        <w:t>s</w:t>
      </w:r>
      <w:r w:rsidR="00B30B0E">
        <w:rPr>
          <w:sz w:val="24"/>
          <w:szCs w:val="24"/>
        </w:rPr>
        <w:t xml:space="preserve"> et suivi interne</w:t>
      </w:r>
    </w:p>
    <w:p w14:paraId="2DF880E5" w14:textId="2D7B7C88" w:rsidR="00481117" w:rsidRDefault="00A91867" w:rsidP="004811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L’étape de construction du diagnostic doit être prolongée par la </w:t>
      </w:r>
      <w:r w:rsidR="00481117" w:rsidRPr="002E6A68">
        <w:rPr>
          <w:sz w:val="24"/>
          <w:szCs w:val="24"/>
        </w:rPr>
        <w:t>m</w:t>
      </w:r>
      <w:r>
        <w:rPr>
          <w:sz w:val="24"/>
          <w:szCs w:val="24"/>
        </w:rPr>
        <w:t>is</w:t>
      </w:r>
      <w:r w:rsidR="00481117" w:rsidRPr="002E6A68">
        <w:rPr>
          <w:sz w:val="24"/>
          <w:szCs w:val="24"/>
        </w:rPr>
        <w:t xml:space="preserve">e en lumière </w:t>
      </w:r>
      <w:r>
        <w:rPr>
          <w:sz w:val="24"/>
          <w:szCs w:val="24"/>
        </w:rPr>
        <w:t>d</w:t>
      </w:r>
      <w:r w:rsidR="00481117" w:rsidRPr="002E6A68">
        <w:rPr>
          <w:sz w:val="24"/>
          <w:szCs w:val="24"/>
        </w:rPr>
        <w:t xml:space="preserve">es points forts à conserver et </w:t>
      </w:r>
      <w:r>
        <w:rPr>
          <w:sz w:val="24"/>
          <w:szCs w:val="24"/>
        </w:rPr>
        <w:t>d</w:t>
      </w:r>
      <w:r w:rsidR="00481117" w:rsidRPr="002E6A68">
        <w:rPr>
          <w:sz w:val="24"/>
          <w:szCs w:val="24"/>
        </w:rPr>
        <w:t>es points susceptibles d’être améliorés en formulant des propositions sous la forme d’un plan d’actions pour le cursus considéré</w:t>
      </w:r>
      <w:r w:rsidR="00481117">
        <w:rPr>
          <w:sz w:val="24"/>
          <w:szCs w:val="24"/>
        </w:rPr>
        <w:t>.</w:t>
      </w:r>
    </w:p>
    <w:p w14:paraId="74844080" w14:textId="373633A7" w:rsidR="00295D67" w:rsidRDefault="00A91867" w:rsidP="00196FD9">
      <w:pPr>
        <w:tabs>
          <w:tab w:val="left" w:pos="709"/>
        </w:tabs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>Parmi les critères non atteints et partiellement atteints</w:t>
      </w:r>
      <w:r w:rsidRPr="00CA7B92">
        <w:rPr>
          <w:sz w:val="24"/>
          <w:szCs w:val="24"/>
        </w:rPr>
        <w:t xml:space="preserve">, </w:t>
      </w:r>
      <w:r>
        <w:rPr>
          <w:sz w:val="24"/>
          <w:szCs w:val="24"/>
        </w:rPr>
        <w:t>il est nécessaire d’identifier</w:t>
      </w:r>
      <w:r w:rsidR="00295D67">
        <w:rPr>
          <w:sz w:val="24"/>
          <w:szCs w:val="24"/>
        </w:rPr>
        <w:t xml:space="preserve"> ceux qui sont prioritaires</w:t>
      </w:r>
      <w:r w:rsidRPr="00CA7B92">
        <w:rPr>
          <w:sz w:val="24"/>
          <w:szCs w:val="24"/>
        </w:rPr>
        <w:t>, soit pour se mettre en conformité av</w:t>
      </w:r>
      <w:r>
        <w:rPr>
          <w:sz w:val="24"/>
          <w:szCs w:val="24"/>
        </w:rPr>
        <w:t>ec le niveau minimal attendu,</w:t>
      </w:r>
      <w:r w:rsidRPr="00CA7B92">
        <w:rPr>
          <w:sz w:val="24"/>
          <w:szCs w:val="24"/>
        </w:rPr>
        <w:t xml:space="preserve"> soit pour progresser, voire </w:t>
      </w:r>
      <w:r>
        <w:rPr>
          <w:sz w:val="24"/>
          <w:szCs w:val="24"/>
        </w:rPr>
        <w:t xml:space="preserve">atteindre parfaitement le critère. Le </w:t>
      </w:r>
      <w:r w:rsidRPr="00CA7B92">
        <w:rPr>
          <w:sz w:val="24"/>
          <w:szCs w:val="24"/>
        </w:rPr>
        <w:t>plan d’action</w:t>
      </w:r>
      <w:r>
        <w:rPr>
          <w:sz w:val="24"/>
          <w:szCs w:val="24"/>
        </w:rPr>
        <w:t>s</w:t>
      </w:r>
      <w:r w:rsidRPr="00CA7B92">
        <w:rPr>
          <w:sz w:val="24"/>
          <w:szCs w:val="24"/>
        </w:rPr>
        <w:t xml:space="preserve"> </w:t>
      </w:r>
      <w:r>
        <w:rPr>
          <w:sz w:val="24"/>
          <w:szCs w:val="24"/>
        </w:rPr>
        <w:t>est d</w:t>
      </w:r>
      <w:r w:rsidR="00F02E61">
        <w:rPr>
          <w:sz w:val="24"/>
          <w:szCs w:val="24"/>
        </w:rPr>
        <w:t>onc établi en distinguant les actions</w:t>
      </w:r>
      <w:r>
        <w:rPr>
          <w:sz w:val="24"/>
          <w:szCs w:val="24"/>
        </w:rPr>
        <w:t xml:space="preserve"> </w:t>
      </w:r>
      <w:r w:rsidRPr="00CA7B92">
        <w:rPr>
          <w:sz w:val="24"/>
          <w:szCs w:val="24"/>
        </w:rPr>
        <w:t>à court et à moyen termes</w:t>
      </w:r>
      <w:r>
        <w:rPr>
          <w:sz w:val="24"/>
          <w:szCs w:val="24"/>
        </w:rPr>
        <w:t xml:space="preserve">, et en énonçant qui en sont </w:t>
      </w:r>
      <w:r w:rsidR="00295D67">
        <w:rPr>
          <w:sz w:val="24"/>
          <w:szCs w:val="24"/>
        </w:rPr>
        <w:t xml:space="preserve">les </w:t>
      </w:r>
      <w:r>
        <w:rPr>
          <w:sz w:val="24"/>
          <w:szCs w:val="24"/>
        </w:rPr>
        <w:t>responsables</w:t>
      </w:r>
      <w:r w:rsidR="00295D67">
        <w:rPr>
          <w:sz w:val="24"/>
          <w:szCs w:val="24"/>
        </w:rPr>
        <w:t>, quels moyens doivent</w:t>
      </w:r>
      <w:r w:rsidRPr="005A35C9">
        <w:rPr>
          <w:sz w:val="24"/>
          <w:szCs w:val="24"/>
        </w:rPr>
        <w:t xml:space="preserve"> y </w:t>
      </w:r>
      <w:r w:rsidR="00295D67">
        <w:rPr>
          <w:sz w:val="24"/>
          <w:szCs w:val="24"/>
        </w:rPr>
        <w:t>être consacrés</w:t>
      </w:r>
      <w:r w:rsidRPr="005A35C9">
        <w:rPr>
          <w:sz w:val="24"/>
          <w:szCs w:val="24"/>
        </w:rPr>
        <w:t xml:space="preserve">, </w:t>
      </w:r>
      <w:r w:rsidR="00295D67">
        <w:rPr>
          <w:sz w:val="24"/>
          <w:szCs w:val="24"/>
        </w:rPr>
        <w:t xml:space="preserve">ainsi que </w:t>
      </w:r>
      <w:r w:rsidRPr="005A35C9">
        <w:rPr>
          <w:sz w:val="24"/>
          <w:szCs w:val="24"/>
        </w:rPr>
        <w:t>les échéances et les critères qui permettront de juger si les objectifs poursuivis sont atteints</w:t>
      </w:r>
      <w:r>
        <w:rPr>
          <w:sz w:val="24"/>
          <w:szCs w:val="24"/>
        </w:rPr>
        <w:t>.</w:t>
      </w:r>
    </w:p>
    <w:p w14:paraId="5DFAE706" w14:textId="3C795409" w:rsidR="00A91867" w:rsidRDefault="006E31C8" w:rsidP="0097152E">
      <w:pPr>
        <w:tabs>
          <w:tab w:val="left" w:pos="709"/>
        </w:tabs>
        <w:spacing w:after="0"/>
        <w:jc w:val="both"/>
        <w:rPr>
          <w:sz w:val="24"/>
          <w:szCs w:val="24"/>
        </w:rPr>
      </w:pPr>
      <w:r w:rsidRPr="00CA7B92">
        <w:rPr>
          <w:sz w:val="24"/>
          <w:szCs w:val="24"/>
        </w:rPr>
        <w:lastRenderedPageBreak/>
        <w:t xml:space="preserve">Pour les critères </w:t>
      </w:r>
      <w:r>
        <w:rPr>
          <w:sz w:val="24"/>
          <w:szCs w:val="24"/>
        </w:rPr>
        <w:t>parfaitement atteints</w:t>
      </w:r>
      <w:r w:rsidRPr="00CA7B92">
        <w:rPr>
          <w:sz w:val="24"/>
          <w:szCs w:val="24"/>
        </w:rPr>
        <w:t xml:space="preserve">, </w:t>
      </w:r>
      <w:r>
        <w:rPr>
          <w:sz w:val="24"/>
          <w:szCs w:val="24"/>
        </w:rPr>
        <w:t>il faut penser aux mesures qui permettront de</w:t>
      </w:r>
      <w:r w:rsidRPr="00CA7B92">
        <w:rPr>
          <w:sz w:val="24"/>
          <w:szCs w:val="24"/>
        </w:rPr>
        <w:t xml:space="preserve"> maintenir ce niveau</w:t>
      </w:r>
      <w:r>
        <w:rPr>
          <w:sz w:val="24"/>
          <w:szCs w:val="24"/>
        </w:rPr>
        <w:t xml:space="preserve"> dans le futur. </w:t>
      </w:r>
    </w:p>
    <w:p w14:paraId="1599B204" w14:textId="77777777" w:rsidR="0097152E" w:rsidRDefault="0097152E" w:rsidP="0097152E">
      <w:pPr>
        <w:tabs>
          <w:tab w:val="left" w:pos="709"/>
        </w:tabs>
        <w:spacing w:after="0"/>
        <w:jc w:val="both"/>
        <w:rPr>
          <w:sz w:val="24"/>
          <w:szCs w:val="24"/>
        </w:rPr>
      </w:pPr>
    </w:p>
    <w:p w14:paraId="7FDD3B18" w14:textId="5FDB65B1" w:rsidR="00295D67" w:rsidRDefault="00A91867" w:rsidP="0097152E">
      <w:pPr>
        <w:spacing w:after="0"/>
        <w:jc w:val="both"/>
        <w:rPr>
          <w:sz w:val="24"/>
          <w:szCs w:val="24"/>
        </w:rPr>
      </w:pPr>
      <w:r w:rsidRPr="003A6E4A">
        <w:rPr>
          <w:sz w:val="24"/>
          <w:szCs w:val="24"/>
        </w:rPr>
        <w:t>Dans une logique d’amélioration continue de la qualité, le modèle préconisé pour formaliser le plan d’actions est celui du Cycle de Deming :</w:t>
      </w:r>
      <w:r w:rsidR="003A6E4A" w:rsidRPr="003A6E4A">
        <w:rPr>
          <w:sz w:val="24"/>
          <w:szCs w:val="24"/>
        </w:rPr>
        <w:t xml:space="preserve"> PDCA </w:t>
      </w:r>
      <w:r w:rsidR="00D41082" w:rsidRPr="003A6E4A">
        <w:rPr>
          <w:sz w:val="24"/>
          <w:szCs w:val="24"/>
        </w:rPr>
        <w:t>(Planifier, Développer, Contrôler, Ajuster)</w:t>
      </w:r>
      <w:r w:rsidRPr="003A6E4A">
        <w:rPr>
          <w:sz w:val="24"/>
          <w:szCs w:val="24"/>
        </w:rPr>
        <w:t>.</w:t>
      </w:r>
      <w:r>
        <w:rPr>
          <w:sz w:val="24"/>
          <w:szCs w:val="24"/>
        </w:rPr>
        <w:t xml:space="preserve"> L</w:t>
      </w:r>
      <w:r w:rsidRPr="00CA7B92">
        <w:rPr>
          <w:sz w:val="24"/>
          <w:szCs w:val="24"/>
        </w:rPr>
        <w:t xml:space="preserve">es </w:t>
      </w:r>
      <w:r>
        <w:rPr>
          <w:sz w:val="24"/>
          <w:szCs w:val="24"/>
        </w:rPr>
        <w:t xml:space="preserve">quatre phases de ce modèle doivent donc être documentées, et une fois prise la décision de mise en œuvre de ce plan il faut garder trace des étapes parcourues. </w:t>
      </w:r>
    </w:p>
    <w:p w14:paraId="227BDCCD" w14:textId="44967FC4" w:rsidR="00FE4310" w:rsidRDefault="00295D67" w:rsidP="0097152E">
      <w:pPr>
        <w:tabs>
          <w:tab w:val="left" w:pos="709"/>
        </w:tabs>
        <w:spacing w:before="120" w:after="0"/>
        <w:jc w:val="both"/>
        <w:rPr>
          <w:sz w:val="24"/>
          <w:szCs w:val="24"/>
        </w:rPr>
      </w:pPr>
      <w:r w:rsidRPr="003A6E4A">
        <w:rPr>
          <w:sz w:val="24"/>
          <w:szCs w:val="24"/>
        </w:rPr>
        <w:t xml:space="preserve">Le suivi interne du plan d‘action, c’est-à-dire sa bonne exécution, revient </w:t>
      </w:r>
      <w:r w:rsidR="00D41082" w:rsidRPr="003A6E4A">
        <w:rPr>
          <w:sz w:val="24"/>
          <w:szCs w:val="24"/>
        </w:rPr>
        <w:t xml:space="preserve">aux entités responsables du CMI, en association </w:t>
      </w:r>
      <w:r w:rsidR="003A6E4A" w:rsidRPr="003A6E4A">
        <w:rPr>
          <w:sz w:val="24"/>
          <w:szCs w:val="24"/>
        </w:rPr>
        <w:t xml:space="preserve">le cas échéant </w:t>
      </w:r>
      <w:r w:rsidR="00D41082" w:rsidRPr="003A6E4A">
        <w:rPr>
          <w:sz w:val="24"/>
          <w:szCs w:val="24"/>
        </w:rPr>
        <w:t>avec la structure de pilotage et de coordination de site</w:t>
      </w:r>
      <w:r w:rsidR="003A6E4A" w:rsidRPr="003A6E4A">
        <w:rPr>
          <w:sz w:val="24"/>
          <w:szCs w:val="24"/>
        </w:rPr>
        <w:t>.</w:t>
      </w:r>
    </w:p>
    <w:p w14:paraId="4656AF83" w14:textId="77777777" w:rsidR="00A91867" w:rsidRDefault="00A91867" w:rsidP="008B14C3">
      <w:pPr>
        <w:rPr>
          <w:sz w:val="24"/>
          <w:szCs w:val="24"/>
        </w:rPr>
      </w:pPr>
    </w:p>
    <w:p w14:paraId="23F3B213" w14:textId="72BD52F1" w:rsidR="00B30B0E" w:rsidRPr="002D2C95" w:rsidRDefault="00B30B0E" w:rsidP="00B30B0E">
      <w:pPr>
        <w:pStyle w:val="Paragraphedeliste"/>
        <w:numPr>
          <w:ilvl w:val="0"/>
          <w:numId w:val="11"/>
        </w:numPr>
        <w:rPr>
          <w:rFonts w:eastAsia="Times New Roman" w:cstheme="minorHAnsi"/>
          <w:sz w:val="24"/>
          <w:szCs w:val="24"/>
          <w:lang w:eastAsia="fr-FR"/>
        </w:rPr>
      </w:pPr>
      <w:r w:rsidRPr="002D2C95">
        <w:rPr>
          <w:rFonts w:eastAsia="Times New Roman" w:cstheme="minorHAnsi"/>
          <w:sz w:val="24"/>
          <w:szCs w:val="24"/>
          <w:lang w:eastAsia="fr-FR"/>
        </w:rPr>
        <w:t>Validation de</w:t>
      </w:r>
      <w:r w:rsidR="001D7A8D" w:rsidRPr="002D2C95">
        <w:rPr>
          <w:rFonts w:eastAsia="Times New Roman" w:cstheme="minorHAnsi"/>
          <w:sz w:val="24"/>
          <w:szCs w:val="24"/>
          <w:lang w:eastAsia="fr-FR"/>
        </w:rPr>
        <w:t>s résultats de</w:t>
      </w:r>
      <w:r w:rsidRPr="002D2C95">
        <w:rPr>
          <w:rFonts w:eastAsia="Times New Roman" w:cstheme="minorHAnsi"/>
          <w:sz w:val="24"/>
          <w:szCs w:val="24"/>
          <w:lang w:eastAsia="fr-FR"/>
        </w:rPr>
        <w:t xml:space="preserve"> l’autoévaluation</w:t>
      </w:r>
    </w:p>
    <w:p w14:paraId="040D1CC6" w14:textId="0B6888CF" w:rsidR="00F17EF9" w:rsidRPr="00CE0316" w:rsidRDefault="00B30B0E" w:rsidP="00B97685">
      <w:pPr>
        <w:jc w:val="both"/>
        <w:rPr>
          <w:sz w:val="24"/>
          <w:szCs w:val="24"/>
        </w:rPr>
      </w:pPr>
      <w:r w:rsidRPr="00B97685">
        <w:rPr>
          <w:sz w:val="24"/>
          <w:szCs w:val="24"/>
        </w:rPr>
        <w:t>L’assurance qualité interne exige que</w:t>
      </w:r>
      <w:r w:rsidR="00F17EF9">
        <w:rPr>
          <w:sz w:val="24"/>
          <w:szCs w:val="24"/>
        </w:rPr>
        <w:t xml:space="preserve"> </w:t>
      </w:r>
      <w:r w:rsidR="00F17EF9" w:rsidRPr="00CE0316">
        <w:rPr>
          <w:sz w:val="24"/>
          <w:szCs w:val="24"/>
        </w:rPr>
        <w:t>les analyses, les diagnostics et le plan d’action</w:t>
      </w:r>
      <w:r w:rsidR="00F17EF9">
        <w:rPr>
          <w:sz w:val="24"/>
          <w:szCs w:val="24"/>
        </w:rPr>
        <w:t xml:space="preserve"> soient validés </w:t>
      </w:r>
      <w:r w:rsidR="00F17EF9" w:rsidRPr="00CE0316">
        <w:rPr>
          <w:sz w:val="24"/>
          <w:szCs w:val="24"/>
        </w:rPr>
        <w:t xml:space="preserve">par l’ensemble des </w:t>
      </w:r>
      <w:r w:rsidR="00F17EF9">
        <w:rPr>
          <w:sz w:val="24"/>
          <w:szCs w:val="24"/>
        </w:rPr>
        <w:t>intervenants</w:t>
      </w:r>
      <w:r w:rsidR="00F17EF9" w:rsidRPr="00CE0316">
        <w:rPr>
          <w:sz w:val="24"/>
          <w:szCs w:val="24"/>
        </w:rPr>
        <w:t xml:space="preserve"> et par des représentants des autres parties prenantes du programme. L’avis des étudiants est particulièrement important et </w:t>
      </w:r>
      <w:r w:rsidR="00F17EF9">
        <w:rPr>
          <w:sz w:val="24"/>
          <w:szCs w:val="24"/>
        </w:rPr>
        <w:t>doit être consig</w:t>
      </w:r>
      <w:r w:rsidR="002D2C95">
        <w:rPr>
          <w:sz w:val="24"/>
          <w:szCs w:val="24"/>
        </w:rPr>
        <w:t xml:space="preserve">né </w:t>
      </w:r>
      <w:r w:rsidR="00F17EF9" w:rsidRPr="00CE0316">
        <w:rPr>
          <w:sz w:val="24"/>
          <w:szCs w:val="24"/>
        </w:rPr>
        <w:t>dans le rapport</w:t>
      </w:r>
      <w:r w:rsidR="002D2C95">
        <w:rPr>
          <w:sz w:val="24"/>
          <w:szCs w:val="24"/>
        </w:rPr>
        <w:t xml:space="preserve"> d’autoévaluation</w:t>
      </w:r>
      <w:r w:rsidR="00F17EF9" w:rsidRPr="00CE0316">
        <w:rPr>
          <w:sz w:val="24"/>
          <w:szCs w:val="24"/>
        </w:rPr>
        <w:t>.</w:t>
      </w:r>
    </w:p>
    <w:p w14:paraId="0E3E3893" w14:textId="6231DB14" w:rsidR="00F17EF9" w:rsidRPr="00B97685" w:rsidRDefault="00F17EF9" w:rsidP="00B97685">
      <w:pPr>
        <w:tabs>
          <w:tab w:val="left" w:pos="709"/>
        </w:tabs>
        <w:spacing w:before="180" w:after="0"/>
        <w:ind w:right="159"/>
        <w:jc w:val="both"/>
        <w:rPr>
          <w:sz w:val="24"/>
          <w:szCs w:val="24"/>
        </w:rPr>
      </w:pPr>
      <w:r w:rsidRPr="00CE0316">
        <w:rPr>
          <w:sz w:val="24"/>
          <w:szCs w:val="24"/>
        </w:rPr>
        <w:t xml:space="preserve">Bien que ce soit évidemment préférable, il n’est pas nécessaire d’obtenir un consensus au sujet de tous les éléments de l’autoévaluation. Sur des points jugés particulièrement sensibles, le rapport </w:t>
      </w:r>
      <w:r w:rsidR="002D2C95">
        <w:rPr>
          <w:sz w:val="24"/>
          <w:szCs w:val="24"/>
        </w:rPr>
        <w:t xml:space="preserve">d’autoévaluation </w:t>
      </w:r>
      <w:r w:rsidRPr="00CE0316">
        <w:rPr>
          <w:sz w:val="24"/>
          <w:szCs w:val="24"/>
        </w:rPr>
        <w:t>peut faire état d’un désaccord et contenir l’expression de points de vue différents.</w:t>
      </w:r>
    </w:p>
    <w:p w14:paraId="2F14C8FE" w14:textId="77777777" w:rsidR="008B14C3" w:rsidRDefault="008B14C3" w:rsidP="00481117">
      <w:pPr>
        <w:jc w:val="both"/>
        <w:rPr>
          <w:sz w:val="24"/>
          <w:szCs w:val="24"/>
        </w:rPr>
      </w:pPr>
    </w:p>
    <w:p w14:paraId="1CB0AE60" w14:textId="7000BDA0" w:rsidR="00A85CBA" w:rsidRDefault="00576D74" w:rsidP="00A85CBA">
      <w:pPr>
        <w:pStyle w:val="Paragraphedeliste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Evaluation </w:t>
      </w:r>
      <w:r w:rsidR="00B30B0E">
        <w:rPr>
          <w:sz w:val="24"/>
          <w:szCs w:val="24"/>
        </w:rPr>
        <w:t>opérée par le comité d’exper</w:t>
      </w:r>
      <w:r w:rsidR="0097152E">
        <w:rPr>
          <w:sz w:val="24"/>
          <w:szCs w:val="24"/>
        </w:rPr>
        <w:t xml:space="preserve">ts </w:t>
      </w:r>
      <w:r w:rsidR="00B30B0E">
        <w:rPr>
          <w:sz w:val="24"/>
          <w:szCs w:val="24"/>
        </w:rPr>
        <w:t>du réseau Figure</w:t>
      </w:r>
      <w:r w:rsidR="00B97685">
        <w:rPr>
          <w:sz w:val="24"/>
          <w:szCs w:val="24"/>
        </w:rPr>
        <w:t xml:space="preserve"> </w:t>
      </w:r>
      <w:r w:rsidR="00FE4310">
        <w:rPr>
          <w:sz w:val="24"/>
          <w:szCs w:val="24"/>
        </w:rPr>
        <w:t>- Interaction avec les responsables du CMI-Figure</w:t>
      </w:r>
    </w:p>
    <w:p w14:paraId="45F1BD4F" w14:textId="760719F1" w:rsidR="00A85CBA" w:rsidRPr="00222F29" w:rsidRDefault="00B97685" w:rsidP="00222F29">
      <w:pPr>
        <w:jc w:val="both"/>
        <w:rPr>
          <w:sz w:val="24"/>
          <w:szCs w:val="24"/>
        </w:rPr>
      </w:pPr>
      <w:r w:rsidRPr="00A85CBA">
        <w:rPr>
          <w:sz w:val="24"/>
          <w:szCs w:val="24"/>
        </w:rPr>
        <w:t xml:space="preserve">Le </w:t>
      </w:r>
      <w:r w:rsidR="003A6E4A">
        <w:rPr>
          <w:sz w:val="24"/>
          <w:szCs w:val="24"/>
        </w:rPr>
        <w:t>rapport d’auto-évaluation avec plan d’</w:t>
      </w:r>
      <w:r w:rsidR="000930B6">
        <w:rPr>
          <w:sz w:val="24"/>
          <w:szCs w:val="24"/>
        </w:rPr>
        <w:t>action</w:t>
      </w:r>
      <w:r w:rsidR="001D7A8D" w:rsidRPr="00A85CBA">
        <w:rPr>
          <w:sz w:val="24"/>
          <w:szCs w:val="24"/>
        </w:rPr>
        <w:t xml:space="preserve"> </w:t>
      </w:r>
      <w:r w:rsidRPr="00A85CBA">
        <w:rPr>
          <w:sz w:val="24"/>
          <w:szCs w:val="24"/>
        </w:rPr>
        <w:t>remis au comité d’accréditation</w:t>
      </w:r>
      <w:r w:rsidR="003A6E4A">
        <w:rPr>
          <w:sz w:val="24"/>
          <w:szCs w:val="24"/>
        </w:rPr>
        <w:t xml:space="preserve"> </w:t>
      </w:r>
      <w:r w:rsidRPr="00A85CBA">
        <w:rPr>
          <w:sz w:val="24"/>
          <w:szCs w:val="24"/>
        </w:rPr>
        <w:t xml:space="preserve">doit être </w:t>
      </w:r>
      <w:r w:rsidR="001D7A8D" w:rsidRPr="00222F29">
        <w:rPr>
          <w:sz w:val="24"/>
          <w:szCs w:val="24"/>
        </w:rPr>
        <w:t>rédigé selon le format fourni en Annexe 4</w:t>
      </w:r>
      <w:r w:rsidRPr="00A85CBA">
        <w:rPr>
          <w:sz w:val="24"/>
          <w:szCs w:val="24"/>
        </w:rPr>
        <w:t>.</w:t>
      </w:r>
      <w:r w:rsidR="0097152E">
        <w:rPr>
          <w:sz w:val="24"/>
          <w:szCs w:val="24"/>
        </w:rPr>
        <w:t xml:space="preserve"> Si l</w:t>
      </w:r>
      <w:r w:rsidR="0097152E" w:rsidRPr="00CA7B92">
        <w:rPr>
          <w:sz w:val="24"/>
          <w:szCs w:val="24"/>
        </w:rPr>
        <w:t xml:space="preserve">’autoévaluation </w:t>
      </w:r>
      <w:r w:rsidR="0097152E">
        <w:rPr>
          <w:sz w:val="24"/>
          <w:szCs w:val="24"/>
        </w:rPr>
        <w:t xml:space="preserve">a </w:t>
      </w:r>
      <w:r w:rsidR="0097152E" w:rsidRPr="00CA7B92">
        <w:rPr>
          <w:sz w:val="24"/>
          <w:szCs w:val="24"/>
        </w:rPr>
        <w:t>suscit</w:t>
      </w:r>
      <w:r w:rsidR="0097152E">
        <w:rPr>
          <w:sz w:val="24"/>
          <w:szCs w:val="24"/>
        </w:rPr>
        <w:t>é</w:t>
      </w:r>
      <w:r w:rsidR="0097152E" w:rsidRPr="00CA7B92">
        <w:rPr>
          <w:sz w:val="24"/>
          <w:szCs w:val="24"/>
        </w:rPr>
        <w:t xml:space="preserve"> la mise en œuvre </w:t>
      </w:r>
      <w:r w:rsidR="0097152E">
        <w:rPr>
          <w:sz w:val="24"/>
          <w:szCs w:val="24"/>
        </w:rPr>
        <w:t>d</w:t>
      </w:r>
      <w:r w:rsidR="0097152E" w:rsidRPr="00CA7B92">
        <w:rPr>
          <w:sz w:val="24"/>
          <w:szCs w:val="24"/>
        </w:rPr>
        <w:t>u plan d’action avant même la phase d’évaluat</w:t>
      </w:r>
      <w:r w:rsidR="0097152E">
        <w:rPr>
          <w:sz w:val="24"/>
          <w:szCs w:val="24"/>
        </w:rPr>
        <w:t>ion externe</w:t>
      </w:r>
      <w:r w:rsidR="0097152E" w:rsidRPr="00CA7B92">
        <w:rPr>
          <w:sz w:val="24"/>
          <w:szCs w:val="24"/>
        </w:rPr>
        <w:t>, le rapport d’autoévaluation mentionnera où l’on en est dans le Cycle de Deming.</w:t>
      </w:r>
    </w:p>
    <w:p w14:paraId="71732444" w14:textId="77777777" w:rsidR="00A85CBA" w:rsidRDefault="00FE4310" w:rsidP="00222F29">
      <w:pPr>
        <w:tabs>
          <w:tab w:val="left" w:pos="709"/>
        </w:tabs>
        <w:spacing w:before="120" w:after="0"/>
        <w:ind w:right="159"/>
        <w:jc w:val="both"/>
        <w:rPr>
          <w:sz w:val="24"/>
          <w:szCs w:val="24"/>
        </w:rPr>
      </w:pPr>
      <w:r>
        <w:rPr>
          <w:sz w:val="24"/>
          <w:szCs w:val="24"/>
        </w:rPr>
        <w:t>Le comité d’experts</w:t>
      </w:r>
      <w:r w:rsidRPr="00CA7B92">
        <w:rPr>
          <w:sz w:val="24"/>
          <w:szCs w:val="24"/>
        </w:rPr>
        <w:t xml:space="preserve"> </w:t>
      </w:r>
      <w:proofErr w:type="gramStart"/>
      <w:r w:rsidR="00A85CBA">
        <w:rPr>
          <w:sz w:val="24"/>
          <w:szCs w:val="24"/>
        </w:rPr>
        <w:t>a</w:t>
      </w:r>
      <w:proofErr w:type="gramEnd"/>
      <w:r w:rsidR="00A85CBA">
        <w:rPr>
          <w:sz w:val="24"/>
          <w:szCs w:val="24"/>
        </w:rPr>
        <w:t xml:space="preserve"> deux missions :</w:t>
      </w:r>
    </w:p>
    <w:p w14:paraId="7A3FD4B0" w14:textId="18F65C93" w:rsidR="00A85CBA" w:rsidRPr="00A85CBA" w:rsidRDefault="000930B6" w:rsidP="00222F29">
      <w:pPr>
        <w:pStyle w:val="Paragraphedeliste"/>
        <w:numPr>
          <w:ilvl w:val="0"/>
          <w:numId w:val="13"/>
        </w:numPr>
        <w:tabs>
          <w:tab w:val="left" w:pos="567"/>
        </w:tabs>
        <w:spacing w:before="120" w:after="0"/>
        <w:ind w:right="15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valider</w:t>
      </w:r>
      <w:proofErr w:type="gramEnd"/>
      <w:r>
        <w:rPr>
          <w:sz w:val="24"/>
          <w:szCs w:val="24"/>
        </w:rPr>
        <w:t xml:space="preserve"> l’auto-évaluation</w:t>
      </w:r>
      <w:r w:rsidR="00222F29">
        <w:rPr>
          <w:sz w:val="24"/>
          <w:szCs w:val="24"/>
        </w:rPr>
        <w:t>,</w:t>
      </w:r>
      <w:r w:rsidR="00A85CBA" w:rsidRPr="00A85CBA">
        <w:rPr>
          <w:sz w:val="24"/>
          <w:szCs w:val="24"/>
        </w:rPr>
        <w:t xml:space="preserve"> en plaçant en regard le référentiel REQ-CMI et en examinant si les éléments probants fournis permettent d’étayer ce diagnostic ;</w:t>
      </w:r>
    </w:p>
    <w:p w14:paraId="0A52E053" w14:textId="445E78C3" w:rsidR="00FE4310" w:rsidRDefault="00FE4310" w:rsidP="00222F29">
      <w:pPr>
        <w:pStyle w:val="Paragraphedeliste"/>
        <w:numPr>
          <w:ilvl w:val="0"/>
          <w:numId w:val="13"/>
        </w:numPr>
        <w:tabs>
          <w:tab w:val="left" w:pos="567"/>
        </w:tabs>
        <w:spacing w:before="120" w:after="0"/>
        <w:ind w:right="159"/>
        <w:jc w:val="both"/>
        <w:rPr>
          <w:sz w:val="24"/>
          <w:szCs w:val="24"/>
        </w:rPr>
      </w:pPr>
      <w:proofErr w:type="gramStart"/>
      <w:r w:rsidRPr="00A85CBA">
        <w:rPr>
          <w:sz w:val="24"/>
          <w:szCs w:val="24"/>
        </w:rPr>
        <w:t>émet</w:t>
      </w:r>
      <w:r w:rsidR="00A85CBA" w:rsidRPr="00A85CBA">
        <w:rPr>
          <w:sz w:val="24"/>
          <w:szCs w:val="24"/>
        </w:rPr>
        <w:t>tre</w:t>
      </w:r>
      <w:proofErr w:type="gramEnd"/>
      <w:r w:rsidRPr="00A85CBA">
        <w:rPr>
          <w:sz w:val="24"/>
          <w:szCs w:val="24"/>
        </w:rPr>
        <w:t xml:space="preserve"> un avis </w:t>
      </w:r>
      <w:r w:rsidR="00A85CBA" w:rsidRPr="00A85CBA">
        <w:rPr>
          <w:sz w:val="24"/>
          <w:szCs w:val="24"/>
        </w:rPr>
        <w:t xml:space="preserve">sur </w:t>
      </w:r>
      <w:r w:rsidRPr="00A85CBA">
        <w:rPr>
          <w:sz w:val="24"/>
          <w:szCs w:val="24"/>
        </w:rPr>
        <w:t>la pertinence et l’efficacité du plan d’action proposé.</w:t>
      </w:r>
    </w:p>
    <w:p w14:paraId="774B9A44" w14:textId="77777777" w:rsidR="00222F29" w:rsidRPr="00222F29" w:rsidRDefault="00222F29" w:rsidP="00222F29">
      <w:pPr>
        <w:tabs>
          <w:tab w:val="left" w:pos="567"/>
        </w:tabs>
        <w:spacing w:before="120" w:after="0"/>
        <w:ind w:right="159"/>
        <w:jc w:val="both"/>
        <w:rPr>
          <w:sz w:val="24"/>
          <w:szCs w:val="24"/>
        </w:rPr>
      </w:pPr>
    </w:p>
    <w:p w14:paraId="5904175E" w14:textId="12EBF1CE" w:rsidR="00222F29" w:rsidRDefault="00222F29" w:rsidP="00222F29">
      <w:pPr>
        <w:jc w:val="both"/>
        <w:rPr>
          <w:sz w:val="24"/>
          <w:szCs w:val="24"/>
        </w:rPr>
      </w:pPr>
      <w:r>
        <w:rPr>
          <w:sz w:val="24"/>
          <w:szCs w:val="24"/>
        </w:rPr>
        <w:t>Le comité d’experts peut conclure à une validation con</w:t>
      </w:r>
      <w:r w:rsidR="000930B6">
        <w:rPr>
          <w:sz w:val="24"/>
          <w:szCs w:val="24"/>
        </w:rPr>
        <w:t>ditionnelle si l’auto-évaluation</w:t>
      </w:r>
      <w:r>
        <w:rPr>
          <w:sz w:val="24"/>
          <w:szCs w:val="24"/>
        </w:rPr>
        <w:t xml:space="preserve"> se révèle optimiste</w:t>
      </w:r>
      <w:r w:rsidR="0097152E">
        <w:rPr>
          <w:sz w:val="24"/>
          <w:szCs w:val="24"/>
        </w:rPr>
        <w:t> ;</w:t>
      </w:r>
      <w:r>
        <w:rPr>
          <w:sz w:val="24"/>
          <w:szCs w:val="24"/>
        </w:rPr>
        <w:t xml:space="preserve"> auquel cas il accompagne cette conclusion d’un ensemble de recommandations.</w:t>
      </w:r>
    </w:p>
    <w:p w14:paraId="42205DD9" w14:textId="34F88210" w:rsidR="00222F29" w:rsidRDefault="00FE4310" w:rsidP="00222F29">
      <w:pPr>
        <w:jc w:val="both"/>
        <w:rPr>
          <w:sz w:val="24"/>
          <w:szCs w:val="24"/>
        </w:rPr>
      </w:pPr>
      <w:r w:rsidRPr="005A35C9">
        <w:rPr>
          <w:sz w:val="24"/>
          <w:szCs w:val="24"/>
        </w:rPr>
        <w:t>Le plan d’action</w:t>
      </w:r>
      <w:r>
        <w:rPr>
          <w:sz w:val="24"/>
          <w:szCs w:val="24"/>
        </w:rPr>
        <w:t>s</w:t>
      </w:r>
      <w:r w:rsidRPr="005A35C9">
        <w:rPr>
          <w:sz w:val="24"/>
          <w:szCs w:val="24"/>
        </w:rPr>
        <w:t xml:space="preserve"> </w:t>
      </w:r>
      <w:r w:rsidR="00222F29">
        <w:rPr>
          <w:sz w:val="24"/>
          <w:szCs w:val="24"/>
        </w:rPr>
        <w:t>peut, parfois</w:t>
      </w:r>
      <w:r w:rsidR="000930B6">
        <w:rPr>
          <w:sz w:val="24"/>
          <w:szCs w:val="24"/>
        </w:rPr>
        <w:t xml:space="preserve"> séparément de l’auto-évaluation</w:t>
      </w:r>
      <w:r w:rsidR="00222F29">
        <w:rPr>
          <w:sz w:val="24"/>
          <w:szCs w:val="24"/>
        </w:rPr>
        <w:t>, être jugé inapproprié. Le plan d’action devra alors être adapté pour répondre aux</w:t>
      </w:r>
      <w:r w:rsidR="0097152E">
        <w:rPr>
          <w:sz w:val="24"/>
          <w:szCs w:val="24"/>
        </w:rPr>
        <w:t xml:space="preserve"> nouveaux</w:t>
      </w:r>
      <w:r w:rsidR="00222F29">
        <w:rPr>
          <w:sz w:val="24"/>
          <w:szCs w:val="24"/>
        </w:rPr>
        <w:t xml:space="preserve"> objectifs.</w:t>
      </w:r>
    </w:p>
    <w:p w14:paraId="2E812EE2" w14:textId="66BD1691" w:rsidR="009F684F" w:rsidRPr="0097152E" w:rsidRDefault="00A85CBA" w:rsidP="005A35C9">
      <w:pPr>
        <w:jc w:val="both"/>
        <w:rPr>
          <w:sz w:val="24"/>
          <w:szCs w:val="24"/>
        </w:rPr>
      </w:pPr>
      <w:r w:rsidRPr="00222F29">
        <w:rPr>
          <w:sz w:val="24"/>
          <w:szCs w:val="24"/>
        </w:rPr>
        <w:lastRenderedPageBreak/>
        <w:t xml:space="preserve">On voit donc que les </w:t>
      </w:r>
      <w:r w:rsidR="00222F29" w:rsidRPr="00222F29">
        <w:rPr>
          <w:sz w:val="24"/>
          <w:szCs w:val="24"/>
        </w:rPr>
        <w:t xml:space="preserve">analyses et </w:t>
      </w:r>
      <w:r w:rsidRPr="00222F29">
        <w:rPr>
          <w:sz w:val="24"/>
          <w:szCs w:val="24"/>
        </w:rPr>
        <w:t xml:space="preserve">propositions contenues </w:t>
      </w:r>
      <w:r w:rsidR="000930B6">
        <w:rPr>
          <w:sz w:val="24"/>
          <w:szCs w:val="24"/>
        </w:rPr>
        <w:t>dans l’auto-évaluation</w:t>
      </w:r>
      <w:r w:rsidR="00222F29" w:rsidRPr="00222F29">
        <w:rPr>
          <w:sz w:val="24"/>
          <w:szCs w:val="24"/>
        </w:rPr>
        <w:t xml:space="preserve"> et le </w:t>
      </w:r>
      <w:r w:rsidR="000930B6">
        <w:rPr>
          <w:sz w:val="24"/>
          <w:szCs w:val="24"/>
        </w:rPr>
        <w:t>p</w:t>
      </w:r>
      <w:r w:rsidR="00222F29" w:rsidRPr="00222F29">
        <w:rPr>
          <w:sz w:val="24"/>
          <w:szCs w:val="24"/>
        </w:rPr>
        <w:t xml:space="preserve">lan d’action </w:t>
      </w:r>
      <w:r w:rsidRPr="00222F29">
        <w:rPr>
          <w:sz w:val="24"/>
          <w:szCs w:val="24"/>
        </w:rPr>
        <w:t>permettent de renforcer le dialogue entre évalués et évaluateurs, en tenant compte du contexte réel dans lequel s’inscrit le cursus.</w:t>
      </w:r>
    </w:p>
    <w:sectPr w:rsidR="009F684F" w:rsidRPr="0097152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0689A1" w16cid:durableId="243A2CB2"/>
  <w16cid:commentId w16cid:paraId="3F0B537A" w16cid:durableId="2496EACF"/>
  <w16cid:commentId w16cid:paraId="649BE785" w16cid:durableId="243A2CB5"/>
  <w16cid:commentId w16cid:paraId="0F4E56A4" w16cid:durableId="2496EAD1"/>
  <w16cid:commentId w16cid:paraId="4401F9E7" w16cid:durableId="2496EAD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3DACF" w14:textId="77777777" w:rsidR="00E3659F" w:rsidRDefault="00E3659F" w:rsidP="009854AD">
      <w:pPr>
        <w:spacing w:after="0" w:line="240" w:lineRule="auto"/>
      </w:pPr>
      <w:r>
        <w:separator/>
      </w:r>
    </w:p>
  </w:endnote>
  <w:endnote w:type="continuationSeparator" w:id="0">
    <w:p w14:paraId="08CC0E58" w14:textId="77777777" w:rsidR="00E3659F" w:rsidRDefault="00E3659F" w:rsidP="0098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3072651"/>
      <w:docPartObj>
        <w:docPartGallery w:val="Page Numbers (Bottom of Page)"/>
        <w:docPartUnique/>
      </w:docPartObj>
    </w:sdtPr>
    <w:sdtEndPr/>
    <w:sdtContent>
      <w:p w14:paraId="394402FD" w14:textId="4606203B" w:rsidR="00784257" w:rsidRDefault="0078425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C95">
          <w:rPr>
            <w:noProof/>
          </w:rPr>
          <w:t>5</w:t>
        </w:r>
        <w:r>
          <w:fldChar w:fldCharType="end"/>
        </w:r>
      </w:p>
    </w:sdtContent>
  </w:sdt>
  <w:p w14:paraId="45B7C3A3" w14:textId="77777777" w:rsidR="00E74452" w:rsidRDefault="00E744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E0512" w14:textId="77777777" w:rsidR="00E3659F" w:rsidRDefault="00E3659F" w:rsidP="009854AD">
      <w:pPr>
        <w:spacing w:after="0" w:line="240" w:lineRule="auto"/>
      </w:pPr>
      <w:r>
        <w:separator/>
      </w:r>
    </w:p>
  </w:footnote>
  <w:footnote w:type="continuationSeparator" w:id="0">
    <w:p w14:paraId="25A84B49" w14:textId="77777777" w:rsidR="00E3659F" w:rsidRDefault="00E3659F" w:rsidP="009854AD">
      <w:pPr>
        <w:spacing w:after="0" w:line="240" w:lineRule="auto"/>
      </w:pPr>
      <w:r>
        <w:continuationSeparator/>
      </w:r>
    </w:p>
  </w:footnote>
  <w:footnote w:id="1">
    <w:p w14:paraId="783ED35A" w14:textId="00EF41F7" w:rsidR="003E28B4" w:rsidRPr="002B2FD8" w:rsidRDefault="003E28B4" w:rsidP="0097152E">
      <w:pPr>
        <w:shd w:val="clear" w:color="auto" w:fill="FFFFFF"/>
        <w:spacing w:after="0"/>
        <w:rPr>
          <w:rFonts w:ascii="Calibri" w:hAnsi="Calibri" w:cs="Calibri"/>
          <w:color w:val="000000"/>
          <w:sz w:val="20"/>
          <w:szCs w:val="20"/>
        </w:rPr>
      </w:pPr>
      <w:r>
        <w:rPr>
          <w:rStyle w:val="Appelnotedebasdep"/>
        </w:rPr>
        <w:footnoteRef/>
      </w:r>
      <w:r>
        <w:t xml:space="preserve"> </w:t>
      </w:r>
      <w:proofErr w:type="gramStart"/>
      <w:r w:rsidR="00441CE5" w:rsidRPr="00441CE5">
        <w:rPr>
          <w:rFonts w:ascii="Calibri" w:hAnsi="Calibri" w:cs="Calibri"/>
          <w:color w:val="000000"/>
          <w:sz w:val="20"/>
          <w:szCs w:val="20"/>
        </w:rPr>
        <w:t>la</w:t>
      </w:r>
      <w:proofErr w:type="gramEnd"/>
      <w:r w:rsidR="00441CE5" w:rsidRPr="00441CE5">
        <w:rPr>
          <w:rFonts w:ascii="Calibri" w:hAnsi="Calibri" w:cs="Calibri"/>
          <w:color w:val="000000"/>
          <w:sz w:val="20"/>
          <w:szCs w:val="20"/>
        </w:rPr>
        <w:t xml:space="preserve"> version française</w:t>
      </w:r>
      <w:r w:rsidR="00E31721" w:rsidRPr="002B2FD8">
        <w:rPr>
          <w:rFonts w:ascii="Calibri" w:hAnsi="Calibri" w:cs="Calibri"/>
          <w:color w:val="000000"/>
          <w:sz w:val="20"/>
          <w:szCs w:val="20"/>
        </w:rPr>
        <w:t xml:space="preserve"> est accessible via le même lien en déployant le menu "</w:t>
      </w:r>
      <w:r w:rsidR="00F17EF9">
        <w:rPr>
          <w:rFonts w:ascii="Calibri" w:hAnsi="Calibri" w:cs="Calibri"/>
          <w:color w:val="000000"/>
          <w:sz w:val="20"/>
          <w:szCs w:val="20"/>
        </w:rPr>
        <w:t>T</w:t>
      </w:r>
      <w:r w:rsidR="00E31721" w:rsidRPr="002B2FD8">
        <w:rPr>
          <w:rFonts w:ascii="Calibri" w:hAnsi="Calibri" w:cs="Calibri"/>
          <w:color w:val="000000"/>
          <w:sz w:val="20"/>
          <w:szCs w:val="20"/>
        </w:rPr>
        <w:t>ranslations"</w:t>
      </w:r>
      <w:r w:rsidR="00F17EF9">
        <w:rPr>
          <w:rFonts w:ascii="Calibri" w:hAnsi="Calibri" w:cs="Calibri"/>
          <w:color w:val="000000"/>
          <w:sz w:val="20"/>
          <w:szCs w:val="20"/>
        </w:rPr>
        <w:t xml:space="preserve"> en base de page</w:t>
      </w:r>
    </w:p>
  </w:footnote>
  <w:footnote w:id="2">
    <w:p w14:paraId="7948AB61" w14:textId="43C3F951" w:rsidR="00441CE5" w:rsidRDefault="00441CE5" w:rsidP="0097152E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9E52E9">
        <w:rPr>
          <w:rFonts w:ascii="Calibri" w:hAnsi="Calibri" w:cs="Calibri"/>
          <w:color w:val="000000"/>
        </w:rPr>
        <w:t xml:space="preserve">une traduction en français est proposée </w:t>
      </w:r>
      <w:r w:rsidR="002B2FD8">
        <w:rPr>
          <w:rFonts w:ascii="Calibri" w:hAnsi="Calibri" w:cs="Calibri"/>
          <w:color w:val="000000"/>
        </w:rPr>
        <w:t xml:space="preserve">conjointement </w:t>
      </w:r>
      <w:r w:rsidRPr="009E52E9">
        <w:rPr>
          <w:rFonts w:ascii="Calibri" w:hAnsi="Calibri" w:cs="Calibri"/>
          <w:color w:val="000000"/>
        </w:rPr>
        <w:t xml:space="preserve">par l’Agence suisse d’accréditation et d’assurance qualité et la Commission des titres d’ingénieur ; </w:t>
      </w:r>
      <w:r>
        <w:t xml:space="preserve">elle est accessible via le lien </w:t>
      </w:r>
      <w:hyperlink r:id="rId1" w:tgtFrame="_blank" w:history="1">
        <w:r>
          <w:rPr>
            <w:rStyle w:val="Lienhypertexte"/>
            <w:rFonts w:ascii="Calibri" w:hAnsi="Calibri" w:cs="Calibri"/>
          </w:rPr>
          <w:t>https://www.enaee.eu/wp-content/uploads/2018/11/EAFSG-French.pdf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B416D"/>
    <w:multiLevelType w:val="hybridMultilevel"/>
    <w:tmpl w:val="781423D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13140"/>
    <w:multiLevelType w:val="hybridMultilevel"/>
    <w:tmpl w:val="377E342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21DCD"/>
    <w:multiLevelType w:val="hybridMultilevel"/>
    <w:tmpl w:val="F71C77A0"/>
    <w:lvl w:ilvl="0" w:tplc="CA5EF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205A8"/>
    <w:multiLevelType w:val="multilevel"/>
    <w:tmpl w:val="7FCAF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DD028A"/>
    <w:multiLevelType w:val="hybridMultilevel"/>
    <w:tmpl w:val="080AAA98"/>
    <w:lvl w:ilvl="0" w:tplc="F2D0C9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E4CE7"/>
    <w:multiLevelType w:val="hybridMultilevel"/>
    <w:tmpl w:val="1C3A5C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D40AD"/>
    <w:multiLevelType w:val="hybridMultilevel"/>
    <w:tmpl w:val="DB82A0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5784E"/>
    <w:multiLevelType w:val="hybridMultilevel"/>
    <w:tmpl w:val="93220F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26192"/>
    <w:multiLevelType w:val="hybridMultilevel"/>
    <w:tmpl w:val="60F4C628"/>
    <w:lvl w:ilvl="0" w:tplc="81A2A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6A3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25F04"/>
    <w:multiLevelType w:val="multilevel"/>
    <w:tmpl w:val="F11E9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36475B"/>
    <w:multiLevelType w:val="multilevel"/>
    <w:tmpl w:val="80F0E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075DE7"/>
    <w:multiLevelType w:val="hybridMultilevel"/>
    <w:tmpl w:val="65386A3A"/>
    <w:lvl w:ilvl="0" w:tplc="778A58C8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C481D08"/>
    <w:multiLevelType w:val="multilevel"/>
    <w:tmpl w:val="CB20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1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12"/>
  </w:num>
  <w:num w:numId="10">
    <w:abstractNumId w:val="3"/>
  </w:num>
  <w:num w:numId="11">
    <w:abstractNumId w:val="4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B44"/>
    <w:rsid w:val="000028E2"/>
    <w:rsid w:val="00010FB4"/>
    <w:rsid w:val="00011FCF"/>
    <w:rsid w:val="00012F0A"/>
    <w:rsid w:val="00014754"/>
    <w:rsid w:val="00014F32"/>
    <w:rsid w:val="000220E1"/>
    <w:rsid w:val="000246F0"/>
    <w:rsid w:val="00025CDD"/>
    <w:rsid w:val="00027C95"/>
    <w:rsid w:val="00036604"/>
    <w:rsid w:val="00042592"/>
    <w:rsid w:val="000466FA"/>
    <w:rsid w:val="00050554"/>
    <w:rsid w:val="000547F3"/>
    <w:rsid w:val="000659C1"/>
    <w:rsid w:val="00067232"/>
    <w:rsid w:val="00075662"/>
    <w:rsid w:val="00076B44"/>
    <w:rsid w:val="00076C66"/>
    <w:rsid w:val="00077F9B"/>
    <w:rsid w:val="0009000E"/>
    <w:rsid w:val="000930B6"/>
    <w:rsid w:val="000A7A59"/>
    <w:rsid w:val="000B4969"/>
    <w:rsid w:val="000C2C85"/>
    <w:rsid w:val="000C582F"/>
    <w:rsid w:val="000D30F2"/>
    <w:rsid w:val="000D368E"/>
    <w:rsid w:val="000E5410"/>
    <w:rsid w:val="000F7F45"/>
    <w:rsid w:val="0010405D"/>
    <w:rsid w:val="00111521"/>
    <w:rsid w:val="00115F70"/>
    <w:rsid w:val="00122CF0"/>
    <w:rsid w:val="00123FDF"/>
    <w:rsid w:val="00124335"/>
    <w:rsid w:val="00140048"/>
    <w:rsid w:val="00152488"/>
    <w:rsid w:val="001715DD"/>
    <w:rsid w:val="00182AF5"/>
    <w:rsid w:val="00184A4A"/>
    <w:rsid w:val="001927A1"/>
    <w:rsid w:val="00196FD9"/>
    <w:rsid w:val="001A14EA"/>
    <w:rsid w:val="001A3E56"/>
    <w:rsid w:val="001B32B4"/>
    <w:rsid w:val="001B5A91"/>
    <w:rsid w:val="001C28D2"/>
    <w:rsid w:val="001D3DDF"/>
    <w:rsid w:val="001D403F"/>
    <w:rsid w:val="001D5298"/>
    <w:rsid w:val="001D7A8D"/>
    <w:rsid w:val="001E45C6"/>
    <w:rsid w:val="001F18B2"/>
    <w:rsid w:val="00204906"/>
    <w:rsid w:val="00204A56"/>
    <w:rsid w:val="00205C4A"/>
    <w:rsid w:val="00215CF3"/>
    <w:rsid w:val="00222F29"/>
    <w:rsid w:val="0022350B"/>
    <w:rsid w:val="00230735"/>
    <w:rsid w:val="0023197B"/>
    <w:rsid w:val="002329C0"/>
    <w:rsid w:val="00233CC6"/>
    <w:rsid w:val="00233FC4"/>
    <w:rsid w:val="00236BC3"/>
    <w:rsid w:val="002475B5"/>
    <w:rsid w:val="00250AA3"/>
    <w:rsid w:val="00261060"/>
    <w:rsid w:val="002656E5"/>
    <w:rsid w:val="002850FD"/>
    <w:rsid w:val="00295D67"/>
    <w:rsid w:val="002970E9"/>
    <w:rsid w:val="002A1023"/>
    <w:rsid w:val="002A17DF"/>
    <w:rsid w:val="002A2B53"/>
    <w:rsid w:val="002B2858"/>
    <w:rsid w:val="002B2FD8"/>
    <w:rsid w:val="002B3EE6"/>
    <w:rsid w:val="002D2C95"/>
    <w:rsid w:val="00300AE2"/>
    <w:rsid w:val="00310FEE"/>
    <w:rsid w:val="00316B6B"/>
    <w:rsid w:val="00316F00"/>
    <w:rsid w:val="003211DC"/>
    <w:rsid w:val="00326761"/>
    <w:rsid w:val="00330292"/>
    <w:rsid w:val="00346500"/>
    <w:rsid w:val="00350955"/>
    <w:rsid w:val="003509F9"/>
    <w:rsid w:val="00353421"/>
    <w:rsid w:val="00370802"/>
    <w:rsid w:val="00370F72"/>
    <w:rsid w:val="003806C6"/>
    <w:rsid w:val="00382F30"/>
    <w:rsid w:val="0039790D"/>
    <w:rsid w:val="003A6E4A"/>
    <w:rsid w:val="003A72F4"/>
    <w:rsid w:val="003B34E4"/>
    <w:rsid w:val="003B746D"/>
    <w:rsid w:val="003E187C"/>
    <w:rsid w:val="003E26D8"/>
    <w:rsid w:val="003E28AC"/>
    <w:rsid w:val="003E28B4"/>
    <w:rsid w:val="003E4DD0"/>
    <w:rsid w:val="003E5FB0"/>
    <w:rsid w:val="003F2E75"/>
    <w:rsid w:val="00404A50"/>
    <w:rsid w:val="004112BF"/>
    <w:rsid w:val="00417D7B"/>
    <w:rsid w:val="00425F61"/>
    <w:rsid w:val="00426329"/>
    <w:rsid w:val="004277DC"/>
    <w:rsid w:val="00441CE5"/>
    <w:rsid w:val="00454B24"/>
    <w:rsid w:val="00462150"/>
    <w:rsid w:val="00462629"/>
    <w:rsid w:val="004647D7"/>
    <w:rsid w:val="00465DBB"/>
    <w:rsid w:val="00466EEB"/>
    <w:rsid w:val="00470282"/>
    <w:rsid w:val="004727CF"/>
    <w:rsid w:val="00477D3A"/>
    <w:rsid w:val="00481117"/>
    <w:rsid w:val="004816CB"/>
    <w:rsid w:val="004A2BE3"/>
    <w:rsid w:val="004A341E"/>
    <w:rsid w:val="004C24AF"/>
    <w:rsid w:val="004C477E"/>
    <w:rsid w:val="004C5F47"/>
    <w:rsid w:val="004D5C50"/>
    <w:rsid w:val="004E445D"/>
    <w:rsid w:val="004E7228"/>
    <w:rsid w:val="004E7249"/>
    <w:rsid w:val="004F3DFB"/>
    <w:rsid w:val="004F7442"/>
    <w:rsid w:val="00504B66"/>
    <w:rsid w:val="00505F60"/>
    <w:rsid w:val="00525B75"/>
    <w:rsid w:val="0053565D"/>
    <w:rsid w:val="00540729"/>
    <w:rsid w:val="005439EC"/>
    <w:rsid w:val="0054737C"/>
    <w:rsid w:val="005604A2"/>
    <w:rsid w:val="00561934"/>
    <w:rsid w:val="00565A73"/>
    <w:rsid w:val="005669CA"/>
    <w:rsid w:val="00576D74"/>
    <w:rsid w:val="00584D8E"/>
    <w:rsid w:val="005910A1"/>
    <w:rsid w:val="00591618"/>
    <w:rsid w:val="005A0F08"/>
    <w:rsid w:val="005A35C9"/>
    <w:rsid w:val="005A5D27"/>
    <w:rsid w:val="005B0AB2"/>
    <w:rsid w:val="005B7183"/>
    <w:rsid w:val="005B72B1"/>
    <w:rsid w:val="005C0BB4"/>
    <w:rsid w:val="005D229E"/>
    <w:rsid w:val="005D7ACD"/>
    <w:rsid w:val="005F6E9C"/>
    <w:rsid w:val="00601255"/>
    <w:rsid w:val="0060469A"/>
    <w:rsid w:val="00604BC5"/>
    <w:rsid w:val="0061226E"/>
    <w:rsid w:val="006336F1"/>
    <w:rsid w:val="00656278"/>
    <w:rsid w:val="0068265A"/>
    <w:rsid w:val="00696673"/>
    <w:rsid w:val="006B55F0"/>
    <w:rsid w:val="006D5188"/>
    <w:rsid w:val="006D7AAD"/>
    <w:rsid w:val="006E31C8"/>
    <w:rsid w:val="006F7580"/>
    <w:rsid w:val="00700860"/>
    <w:rsid w:val="007012EF"/>
    <w:rsid w:val="00705070"/>
    <w:rsid w:val="00706F7C"/>
    <w:rsid w:val="00720C7D"/>
    <w:rsid w:val="00721FC1"/>
    <w:rsid w:val="00723322"/>
    <w:rsid w:val="00724FE5"/>
    <w:rsid w:val="007277C3"/>
    <w:rsid w:val="007447F5"/>
    <w:rsid w:val="00770EF0"/>
    <w:rsid w:val="007728DA"/>
    <w:rsid w:val="007767F3"/>
    <w:rsid w:val="00777917"/>
    <w:rsid w:val="00784257"/>
    <w:rsid w:val="00785078"/>
    <w:rsid w:val="0078522B"/>
    <w:rsid w:val="007948A0"/>
    <w:rsid w:val="007A18BE"/>
    <w:rsid w:val="007A6006"/>
    <w:rsid w:val="007C030A"/>
    <w:rsid w:val="007C687C"/>
    <w:rsid w:val="007C79B5"/>
    <w:rsid w:val="007D57A6"/>
    <w:rsid w:val="007D6653"/>
    <w:rsid w:val="007D716F"/>
    <w:rsid w:val="008016A5"/>
    <w:rsid w:val="00806574"/>
    <w:rsid w:val="008300EB"/>
    <w:rsid w:val="00833C94"/>
    <w:rsid w:val="00844CF4"/>
    <w:rsid w:val="00851890"/>
    <w:rsid w:val="0085267F"/>
    <w:rsid w:val="0085275D"/>
    <w:rsid w:val="00864472"/>
    <w:rsid w:val="00880CA0"/>
    <w:rsid w:val="008827A8"/>
    <w:rsid w:val="008925CA"/>
    <w:rsid w:val="008A10C7"/>
    <w:rsid w:val="008A6628"/>
    <w:rsid w:val="008A7924"/>
    <w:rsid w:val="008B14C3"/>
    <w:rsid w:val="008B169D"/>
    <w:rsid w:val="008B45B4"/>
    <w:rsid w:val="008D48BA"/>
    <w:rsid w:val="008D6599"/>
    <w:rsid w:val="008E1FEB"/>
    <w:rsid w:val="008E206E"/>
    <w:rsid w:val="008F6FD6"/>
    <w:rsid w:val="008F782C"/>
    <w:rsid w:val="00903739"/>
    <w:rsid w:val="009042B1"/>
    <w:rsid w:val="00916C61"/>
    <w:rsid w:val="00934346"/>
    <w:rsid w:val="00934972"/>
    <w:rsid w:val="00951A2C"/>
    <w:rsid w:val="00954E66"/>
    <w:rsid w:val="00954FF6"/>
    <w:rsid w:val="00965B85"/>
    <w:rsid w:val="00967045"/>
    <w:rsid w:val="0097152E"/>
    <w:rsid w:val="009854AD"/>
    <w:rsid w:val="00986972"/>
    <w:rsid w:val="00994561"/>
    <w:rsid w:val="009A0062"/>
    <w:rsid w:val="009A0C95"/>
    <w:rsid w:val="009A385A"/>
    <w:rsid w:val="009B1DA1"/>
    <w:rsid w:val="009B44DD"/>
    <w:rsid w:val="009B60FE"/>
    <w:rsid w:val="009C08EE"/>
    <w:rsid w:val="009C20E5"/>
    <w:rsid w:val="009C33C6"/>
    <w:rsid w:val="009D46AE"/>
    <w:rsid w:val="009D53C9"/>
    <w:rsid w:val="009E578A"/>
    <w:rsid w:val="009F684F"/>
    <w:rsid w:val="00A1568F"/>
    <w:rsid w:val="00A22685"/>
    <w:rsid w:val="00A2360F"/>
    <w:rsid w:val="00A23D15"/>
    <w:rsid w:val="00A25C93"/>
    <w:rsid w:val="00A27BC9"/>
    <w:rsid w:val="00A403A5"/>
    <w:rsid w:val="00A40EF8"/>
    <w:rsid w:val="00A41DEC"/>
    <w:rsid w:val="00A52E51"/>
    <w:rsid w:val="00A548B5"/>
    <w:rsid w:val="00A67553"/>
    <w:rsid w:val="00A85CBA"/>
    <w:rsid w:val="00A87664"/>
    <w:rsid w:val="00A91867"/>
    <w:rsid w:val="00A93BC7"/>
    <w:rsid w:val="00AA4666"/>
    <w:rsid w:val="00AC5E8F"/>
    <w:rsid w:val="00AD4A7D"/>
    <w:rsid w:val="00AE4B31"/>
    <w:rsid w:val="00AE4D22"/>
    <w:rsid w:val="00AF2A96"/>
    <w:rsid w:val="00AF4F7D"/>
    <w:rsid w:val="00B12397"/>
    <w:rsid w:val="00B30B0E"/>
    <w:rsid w:val="00B31850"/>
    <w:rsid w:val="00B327DF"/>
    <w:rsid w:val="00B32DAB"/>
    <w:rsid w:val="00B36802"/>
    <w:rsid w:val="00B40C8E"/>
    <w:rsid w:val="00B52579"/>
    <w:rsid w:val="00B53E64"/>
    <w:rsid w:val="00B563E1"/>
    <w:rsid w:val="00B64C4D"/>
    <w:rsid w:val="00B768AB"/>
    <w:rsid w:val="00B97685"/>
    <w:rsid w:val="00BA1C73"/>
    <w:rsid w:val="00BB14CD"/>
    <w:rsid w:val="00BB2B69"/>
    <w:rsid w:val="00BB7AB3"/>
    <w:rsid w:val="00BC4AD3"/>
    <w:rsid w:val="00BC5F81"/>
    <w:rsid w:val="00BD10D4"/>
    <w:rsid w:val="00BD60DA"/>
    <w:rsid w:val="00BD75D3"/>
    <w:rsid w:val="00BD7873"/>
    <w:rsid w:val="00BD7C8F"/>
    <w:rsid w:val="00BE1D4C"/>
    <w:rsid w:val="00BF4DE5"/>
    <w:rsid w:val="00C16A69"/>
    <w:rsid w:val="00C247F5"/>
    <w:rsid w:val="00C47DDA"/>
    <w:rsid w:val="00C507F8"/>
    <w:rsid w:val="00C5123F"/>
    <w:rsid w:val="00C70EA6"/>
    <w:rsid w:val="00C75F47"/>
    <w:rsid w:val="00CA4E23"/>
    <w:rsid w:val="00CA5F92"/>
    <w:rsid w:val="00CA7A25"/>
    <w:rsid w:val="00CA7B92"/>
    <w:rsid w:val="00CB2813"/>
    <w:rsid w:val="00CB5C11"/>
    <w:rsid w:val="00CC7A4E"/>
    <w:rsid w:val="00CD2B2D"/>
    <w:rsid w:val="00CD5E47"/>
    <w:rsid w:val="00CD5FCF"/>
    <w:rsid w:val="00CE0316"/>
    <w:rsid w:val="00CE5343"/>
    <w:rsid w:val="00CF3A05"/>
    <w:rsid w:val="00D11FFA"/>
    <w:rsid w:val="00D255B1"/>
    <w:rsid w:val="00D25C93"/>
    <w:rsid w:val="00D3033B"/>
    <w:rsid w:val="00D35B98"/>
    <w:rsid w:val="00D377CE"/>
    <w:rsid w:val="00D41082"/>
    <w:rsid w:val="00D42607"/>
    <w:rsid w:val="00D515E3"/>
    <w:rsid w:val="00D520A7"/>
    <w:rsid w:val="00D560CD"/>
    <w:rsid w:val="00D5679C"/>
    <w:rsid w:val="00D57F5E"/>
    <w:rsid w:val="00D6255B"/>
    <w:rsid w:val="00D72FA8"/>
    <w:rsid w:val="00D81B2D"/>
    <w:rsid w:val="00D96AB6"/>
    <w:rsid w:val="00DA3B38"/>
    <w:rsid w:val="00DA3B5C"/>
    <w:rsid w:val="00DC4E71"/>
    <w:rsid w:val="00DD11D7"/>
    <w:rsid w:val="00DD456E"/>
    <w:rsid w:val="00DE12B1"/>
    <w:rsid w:val="00DE2740"/>
    <w:rsid w:val="00DE2DA8"/>
    <w:rsid w:val="00DE3A32"/>
    <w:rsid w:val="00DE4137"/>
    <w:rsid w:val="00DE6B06"/>
    <w:rsid w:val="00DF33AA"/>
    <w:rsid w:val="00DF5BC3"/>
    <w:rsid w:val="00E01F2C"/>
    <w:rsid w:val="00E026EB"/>
    <w:rsid w:val="00E031B8"/>
    <w:rsid w:val="00E10B1B"/>
    <w:rsid w:val="00E14E2A"/>
    <w:rsid w:val="00E16F13"/>
    <w:rsid w:val="00E24FC4"/>
    <w:rsid w:val="00E25986"/>
    <w:rsid w:val="00E31721"/>
    <w:rsid w:val="00E362A3"/>
    <w:rsid w:val="00E3659F"/>
    <w:rsid w:val="00E36D8D"/>
    <w:rsid w:val="00E36E3E"/>
    <w:rsid w:val="00E416E6"/>
    <w:rsid w:val="00E46247"/>
    <w:rsid w:val="00E51AE5"/>
    <w:rsid w:val="00E74452"/>
    <w:rsid w:val="00E8509B"/>
    <w:rsid w:val="00E85D86"/>
    <w:rsid w:val="00E86576"/>
    <w:rsid w:val="00E9095D"/>
    <w:rsid w:val="00E94747"/>
    <w:rsid w:val="00EA7680"/>
    <w:rsid w:val="00EA7D9A"/>
    <w:rsid w:val="00EB0ACB"/>
    <w:rsid w:val="00EC4FD2"/>
    <w:rsid w:val="00ED38AC"/>
    <w:rsid w:val="00ED6E9C"/>
    <w:rsid w:val="00EE256A"/>
    <w:rsid w:val="00EE6098"/>
    <w:rsid w:val="00F02E61"/>
    <w:rsid w:val="00F0488C"/>
    <w:rsid w:val="00F073DA"/>
    <w:rsid w:val="00F1139B"/>
    <w:rsid w:val="00F158DB"/>
    <w:rsid w:val="00F167AA"/>
    <w:rsid w:val="00F17EF9"/>
    <w:rsid w:val="00F230E7"/>
    <w:rsid w:val="00F23BEF"/>
    <w:rsid w:val="00F27EE7"/>
    <w:rsid w:val="00F41114"/>
    <w:rsid w:val="00F44A02"/>
    <w:rsid w:val="00F51648"/>
    <w:rsid w:val="00F533D2"/>
    <w:rsid w:val="00F53571"/>
    <w:rsid w:val="00F649C2"/>
    <w:rsid w:val="00F70253"/>
    <w:rsid w:val="00F72F9A"/>
    <w:rsid w:val="00F77DD9"/>
    <w:rsid w:val="00F81FD3"/>
    <w:rsid w:val="00F94E10"/>
    <w:rsid w:val="00FA1BE2"/>
    <w:rsid w:val="00FA4A71"/>
    <w:rsid w:val="00FB1E72"/>
    <w:rsid w:val="00FC46C7"/>
    <w:rsid w:val="00FD0AB9"/>
    <w:rsid w:val="00FE4310"/>
    <w:rsid w:val="00FE4ED4"/>
    <w:rsid w:val="00FF4251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8A95F5"/>
  <w15:docId w15:val="{874A0FFB-303E-4047-8DEA-BEFEBCFC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4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4BC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1"/>
    <w:qFormat/>
    <w:rsid w:val="00720C7D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9854A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854AD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9854AD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D5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5C50"/>
  </w:style>
  <w:style w:type="paragraph" w:styleId="Pieddepage">
    <w:name w:val="footer"/>
    <w:basedOn w:val="Normal"/>
    <w:link w:val="PieddepageCar"/>
    <w:uiPriority w:val="99"/>
    <w:unhideWhenUsed/>
    <w:rsid w:val="004D5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5C50"/>
  </w:style>
  <w:style w:type="paragraph" w:customStyle="1" w:styleId="ListParagraph-sh">
    <w:name w:val="List Paragraph - sh"/>
    <w:basedOn w:val="Paragraphedeliste"/>
    <w:uiPriority w:val="1"/>
    <w:qFormat/>
    <w:rsid w:val="00462629"/>
    <w:pPr>
      <w:tabs>
        <w:tab w:val="left" w:pos="709"/>
      </w:tabs>
      <w:spacing w:before="120" w:after="0" w:line="240" w:lineRule="auto"/>
      <w:ind w:left="1440" w:right="159" w:hanging="360"/>
      <w:contextualSpacing w:val="0"/>
      <w:jc w:val="both"/>
    </w:pPr>
    <w:rPr>
      <w:rFonts w:ascii="Times New Roman" w:eastAsia="Times New Roman" w:hAnsi="Times New Roman" w:cs="Times New Roman"/>
      <w:sz w:val="24"/>
      <w:szCs w:val="23"/>
      <w:lang w:val="fr-BE"/>
    </w:rPr>
  </w:style>
  <w:style w:type="table" w:styleId="Grilledutableau">
    <w:name w:val="Table Grid"/>
    <w:basedOn w:val="TableauNormal"/>
    <w:uiPriority w:val="59"/>
    <w:rsid w:val="000C582F"/>
    <w:pPr>
      <w:spacing w:after="0" w:line="240" w:lineRule="auto"/>
    </w:pPr>
    <w:rPr>
      <w:lang w:val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cont">
    <w:name w:val="List cont"/>
    <w:basedOn w:val="Normal"/>
    <w:uiPriority w:val="1"/>
    <w:qFormat/>
    <w:rsid w:val="009C33C6"/>
    <w:pPr>
      <w:spacing w:before="120" w:after="0" w:line="240" w:lineRule="auto"/>
      <w:ind w:left="709"/>
    </w:pPr>
    <w:rPr>
      <w:rFonts w:ascii="Times New Roman" w:hAnsi="Times New Roman"/>
      <w:sz w:val="24"/>
      <w:lang w:val="fr-BE"/>
    </w:rPr>
  </w:style>
  <w:style w:type="paragraph" w:customStyle="1" w:styleId="Critre-descr">
    <w:name w:val="Critère-descr"/>
    <w:basedOn w:val="Normal"/>
    <w:qFormat/>
    <w:rsid w:val="00B64C4D"/>
    <w:pPr>
      <w:spacing w:before="60" w:after="60" w:line="240" w:lineRule="auto"/>
    </w:pPr>
    <w:rPr>
      <w:rFonts w:eastAsiaTheme="minorEastAsia"/>
      <w:sz w:val="20"/>
      <w:szCs w:val="23"/>
      <w:lang w:val="fr-BE"/>
    </w:rPr>
  </w:style>
  <w:style w:type="character" w:styleId="Marquedecommentaire">
    <w:name w:val="annotation reference"/>
    <w:basedOn w:val="Policepardfaut"/>
    <w:uiPriority w:val="99"/>
    <w:semiHidden/>
    <w:unhideWhenUsed/>
    <w:rsid w:val="008016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016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16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16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16A5"/>
    <w:rPr>
      <w:b/>
      <w:bCs/>
      <w:sz w:val="20"/>
      <w:szCs w:val="20"/>
    </w:rPr>
  </w:style>
  <w:style w:type="character" w:customStyle="1" w:styleId="hgkelc">
    <w:name w:val="hgkelc"/>
    <w:basedOn w:val="Policepardfaut"/>
    <w:rsid w:val="00477D3A"/>
  </w:style>
  <w:style w:type="paragraph" w:styleId="NormalWeb">
    <w:name w:val="Normal (Web)"/>
    <w:basedOn w:val="Normal"/>
    <w:uiPriority w:val="99"/>
    <w:semiHidden/>
    <w:unhideWhenUsed/>
    <w:rsid w:val="00477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477D3A"/>
    <w:rPr>
      <w:color w:val="0000FF"/>
      <w:u w:val="single"/>
    </w:rPr>
  </w:style>
  <w:style w:type="character" w:customStyle="1" w:styleId="lang-en">
    <w:name w:val="lang-en"/>
    <w:basedOn w:val="Policepardfaut"/>
    <w:rsid w:val="00477D3A"/>
  </w:style>
  <w:style w:type="character" w:customStyle="1" w:styleId="object">
    <w:name w:val="object"/>
    <w:basedOn w:val="Policepardfaut"/>
    <w:rsid w:val="009F684F"/>
  </w:style>
  <w:style w:type="character" w:customStyle="1" w:styleId="object-hover">
    <w:name w:val="object-hover"/>
    <w:basedOn w:val="Policepardfaut"/>
    <w:rsid w:val="00E31721"/>
  </w:style>
  <w:style w:type="character" w:styleId="Lienhypertextesuivivisit">
    <w:name w:val="FollowedHyperlink"/>
    <w:basedOn w:val="Policepardfaut"/>
    <w:uiPriority w:val="99"/>
    <w:semiHidden/>
    <w:unhideWhenUsed/>
    <w:rsid w:val="003F2E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0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1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9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5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enaee.eu/wp-content/uploads/2018/11/EAFSG-Doc-Full-status-8-Sept-15-on-web-f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nqa.eu/esg-standards-and-guidelines-for-quality-assurance-in-the-european-higher-education-area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naee.eu/wp-content/uploads/2018/11/EAFSG-French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236A8-40F7-4E81-A061-F90A629C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1490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Luc HEBRARD</cp:lastModifiedBy>
  <cp:revision>5</cp:revision>
  <cp:lastPrinted>2015-02-01T19:31:00Z</cp:lastPrinted>
  <dcterms:created xsi:type="dcterms:W3CDTF">2021-07-18T17:22:00Z</dcterms:created>
  <dcterms:modified xsi:type="dcterms:W3CDTF">2021-07-21T15:17:00Z</dcterms:modified>
</cp:coreProperties>
</file>